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4" w:lineRule="exact"/>
        <w:rPr>
          <w:sz w:val="24"/>
          <w:szCs w:val="24"/>
          <w:color w:val="auto"/>
        </w:rPr>
      </w:pPr>
    </w:p>
    <w:p>
      <w:pPr>
        <w:jc w:val="center"/>
        <w:ind w:left="4000" w:right="1400" w:hanging="2586"/>
        <w:spacing w:after="0" w:line="243" w:lineRule="auto"/>
        <w:tabs>
          <w:tab w:leader="none" w:pos="1623"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ANNUAL REPORT PURSUANT TO SECTION 13 OR 15(d) OF THE SECURITIES EXCHANGE ACT OF 1934 For the fiscal year ended: </w:t>
      </w: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-254000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82" w:lineRule="exact"/>
        <w:rPr>
          <w:sz w:val="24"/>
          <w:szCs w:val="24"/>
          <w:color w:val="auto"/>
        </w:rPr>
      </w:pPr>
    </w:p>
    <w:p>
      <w:pPr>
        <w:jc w:val="center"/>
        <w:ind w:left="4560" w:right="1240" w:hanging="3302"/>
        <w:spacing w:after="0" w:line="258" w:lineRule="auto"/>
        <w:tabs>
          <w:tab w:leader="none" w:pos="1464"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Commissions file no. </w:t>
      </w:r>
      <w:r>
        <w:rPr>
          <w:rFonts w:ascii="Times New Roman" w:cs="Times New Roman" w:eastAsia="Times New Roman" w:hAnsi="Times New Roman"/>
          <w:sz w:val="18"/>
          <w:szCs w:val="18"/>
          <w:b w:val="1"/>
          <w:bCs w:val="1"/>
          <w:color w:val="auto"/>
        </w:rPr>
        <w:t>1-33741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124460</wp:posOffset>
            </wp:positionV>
            <wp:extent cx="2540635" cy="353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0635" cy="3536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57"/>
          <w:szCs w:val="57"/>
          <w:color w:val="auto"/>
        </w:rPr>
        <w:t xml:space="preserve">DallasNews </w:t>
      </w:r>
      <w:r>
        <w:rPr>
          <w:rFonts w:ascii="Times New Roman" w:cs="Times New Roman" w:eastAsia="Times New Roman" w:hAnsi="Times New Roman"/>
          <w:sz w:val="31"/>
          <w:szCs w:val="31"/>
          <w:b w:val="1"/>
          <w:bCs w:val="1"/>
          <w:color w:val="auto"/>
        </w:rPr>
        <w:t>CORPORATION</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99" w:right="339" w:bottom="1440" w:gutter="0" w:footer="0" w:header="0"/>
        </w:sectPr>
      </w:pPr>
    </w:p>
    <w:p>
      <w:pPr>
        <w:spacing w:after="0" w:line="195"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Texas</w:t>
      </w:r>
    </w:p>
    <w:p>
      <w:pPr>
        <w:spacing w:after="0" w:line="16"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4"/>
          <w:szCs w:val="14"/>
          <w:b w:val="1"/>
          <w:bCs w:val="1"/>
          <w:color w:val="auto"/>
        </w:rPr>
        <w:t>38-3765318</w:t>
      </w:r>
    </w:p>
    <w:p>
      <w:pPr>
        <w:spacing w:after="0" w:line="16"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39" w:lineRule="exact"/>
        <w:rPr>
          <w:sz w:val="24"/>
          <w:szCs w:val="24"/>
          <w:color w:val="auto"/>
        </w:rPr>
      </w:pPr>
    </w:p>
    <w:p>
      <w:pPr>
        <w:sectPr>
          <w:pgSz w:w="11900" w:h="16838" w:orient="portrait"/>
          <w:cols w:equalWidth="0" w:num="2">
            <w:col w:w="6840" w:space="720"/>
            <w:col w:w="3680"/>
          </w:cols>
          <w:pgMar w:left="320" w:top="399" w:right="339" w:bottom="1440" w:gutter="0" w:footer="0" w:header="0"/>
          <w:type w:val="continuous"/>
        </w:sectPr>
      </w:pPr>
    </w:p>
    <w:p>
      <w:pPr>
        <w:ind w:left="1440"/>
        <w:spacing w:after="0"/>
        <w:tabs>
          <w:tab w:leader="none" w:pos="8120" w:val="left"/>
        </w:tabs>
        <w:rPr>
          <w:sz w:val="20"/>
          <w:szCs w:val="20"/>
          <w:color w:val="auto"/>
        </w:rPr>
      </w:pPr>
      <w:r>
        <w:rPr>
          <w:rFonts w:ascii="Times New Roman" w:cs="Times New Roman" w:eastAsia="Times New Roman" w:hAnsi="Times New Roman"/>
          <w:sz w:val="14"/>
          <w:szCs w:val="14"/>
          <w:b w:val="1"/>
          <w:bCs w:val="1"/>
          <w:color w:val="auto"/>
        </w:rPr>
        <w:t>P. O. Box 224866, Dallas, Texas 75222-4866</w:t>
      </w:r>
      <w:r>
        <w:rPr>
          <w:sz w:val="20"/>
          <w:szCs w:val="20"/>
          <w:color w:val="auto"/>
        </w:rPr>
        <w:tab/>
      </w:r>
      <w:r>
        <w:rPr>
          <w:rFonts w:ascii="Times New Roman" w:cs="Times New Roman" w:eastAsia="Times New Roman" w:hAnsi="Times New Roman"/>
          <w:sz w:val="14"/>
          <w:szCs w:val="14"/>
          <w:b w:val="1"/>
          <w:bCs w:val="1"/>
          <w:color w:val="auto"/>
        </w:rPr>
        <w:t>(214) 977-8869</w:t>
      </w:r>
    </w:p>
    <w:p>
      <w:pPr>
        <w:spacing w:after="0" w:line="16" w:lineRule="exact"/>
        <w:rPr>
          <w:sz w:val="24"/>
          <w:szCs w:val="24"/>
          <w:color w:val="auto"/>
        </w:rPr>
      </w:pPr>
    </w:p>
    <w:p>
      <w:pPr>
        <w:ind w:left="1060"/>
        <w:spacing w:after="0"/>
        <w:tabs>
          <w:tab w:leader="none" w:pos="7060" w:val="left"/>
        </w:tabs>
        <w:rPr>
          <w:sz w:val="20"/>
          <w:szCs w:val="20"/>
          <w:color w:val="auto"/>
        </w:rPr>
      </w:pPr>
      <w:r>
        <w:rPr>
          <w:rFonts w:ascii="Times New Roman" w:cs="Times New Roman" w:eastAsia="Times New Roman" w:hAnsi="Times New Roman"/>
          <w:sz w:val="14"/>
          <w:szCs w:val="14"/>
          <w:color w:val="auto"/>
        </w:rPr>
        <w:t>(Address of principal executive offices, including zip code)</w:t>
      </w:r>
      <w:r>
        <w:rPr>
          <w:sz w:val="20"/>
          <w:szCs w:val="20"/>
          <w:color w:val="auto"/>
        </w:rPr>
        <w:tab/>
      </w:r>
      <w:r>
        <w:rPr>
          <w:rFonts w:ascii="Times New Roman" w:cs="Times New Roman" w:eastAsia="Times New Roman" w:hAnsi="Times New Roman"/>
          <w:sz w:val="14"/>
          <w:szCs w:val="14"/>
          <w:color w:val="auto"/>
        </w:rPr>
        <w:t>(Registrant’s telephone number, including area code)</w:t>
      </w:r>
    </w:p>
    <w:p>
      <w:pPr>
        <w:spacing w:after="0" w:line="7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240"/>
          </w:cols>
          <w:pgMar w:left="320" w:top="399" w:right="339" w:bottom="1440" w:gutter="0" w:footer="0" w:header="0"/>
          <w:type w:val="continuous"/>
        </w:sectPr>
      </w:pPr>
    </w:p>
    <w:p>
      <w:pPr>
        <w:spacing w:after="0" w:line="250"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Title of each class</w:t>
      </w:r>
    </w:p>
    <w:p>
      <w:pPr>
        <w:spacing w:after="0" w:line="14"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Series A Common Stock, $0.01 par value</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Trading Symbol</w:t>
      </w:r>
    </w:p>
    <w:p>
      <w:pPr>
        <w:spacing w:after="0" w:line="14"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DALN</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4"/>
          <w:szCs w:val="14"/>
          <w:color w:val="auto"/>
        </w:rPr>
        <w:t>Name of each exchange on which registered</w:t>
      </w:r>
    </w:p>
    <w:p>
      <w:pPr>
        <w:spacing w:after="0" w:line="14"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p>
      <w:pPr>
        <w:spacing w:after="0" w:line="75" w:lineRule="exact"/>
        <w:rPr>
          <w:sz w:val="24"/>
          <w:szCs w:val="24"/>
          <w:color w:val="auto"/>
        </w:rPr>
      </w:pPr>
    </w:p>
    <w:p>
      <w:pPr>
        <w:sectPr>
          <w:pgSz w:w="11900" w:h="16838" w:orient="portrait"/>
          <w:cols w:equalWidth="0" w:num="3">
            <w:col w:w="4540" w:space="720"/>
            <w:col w:w="1540" w:space="720"/>
            <w:col w:w="3720"/>
          </w:cols>
          <w:pgMar w:left="320" w:top="399" w:right="339" w:bottom="1440" w:gutter="0" w:footer="0" w:header="0"/>
          <w:type w:val="continuous"/>
        </w:sectPr>
      </w:pPr>
    </w:p>
    <w:p>
      <w:pPr>
        <w:ind w:left="400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p>
      <w:pPr>
        <w:spacing w:after="0" w:line="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Series B Common Stock, $0.01 par value (Title of class)</w:t>
      </w:r>
    </w:p>
    <w:p>
      <w:pPr>
        <w:sectPr>
          <w:pgSz w:w="11900" w:h="16838" w:orient="portrait"/>
          <w:cols w:equalWidth="0" w:num="1">
            <w:col w:w="11240"/>
          </w:cols>
          <w:pgMar w:left="320" w:top="399" w:right="3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Act.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3"/>
          <w:szCs w:val="13"/>
          <w:b w:val="1"/>
          <w:bCs w:val="1"/>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No </w:t>
      </w:r>
      <w:r>
        <w:rPr>
          <w:rFonts w:ascii="Wingdings" w:cs="Wingdings" w:eastAsia="Wingdings" w:hAnsi="Wingdings"/>
          <w:sz w:val="14"/>
          <w:szCs w:val="14"/>
          <w:b w:val="1"/>
          <w:bCs w:val="1"/>
          <w:color w:val="auto"/>
        </w:rPr>
        <w:t></w:t>
      </w:r>
    </w:p>
    <w:p>
      <w:pPr>
        <w:spacing w:after="0" w:line="78" w:lineRule="exact"/>
        <w:rPr>
          <w:sz w:val="24"/>
          <w:szCs w:val="24"/>
          <w:color w:val="auto"/>
        </w:rPr>
      </w:pPr>
    </w:p>
    <w:p>
      <w:pPr>
        <w:sectPr>
          <w:pgSz w:w="11900" w:h="16838" w:orient="portrait"/>
          <w:cols w:equalWidth="0" w:num="3">
            <w:col w:w="6040" w:space="180"/>
            <w:col w:w="360" w:space="180"/>
            <w:col w:w="4480"/>
          </w:cols>
          <w:pgMar w:left="320" w:top="399" w:right="339" w:bottom="1440" w:gutter="0" w:footer="0" w:header="0"/>
          <w:type w:val="continuous"/>
        </w:sectPr>
      </w:pPr>
    </w:p>
    <w:p>
      <w:pPr>
        <w:spacing w:after="0"/>
        <w:tabs>
          <w:tab w:leader="none" w:pos="7500" w:val="left"/>
          <w:tab w:leader="none" w:pos="802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Exchange Act.</w:t>
        <w:tab/>
        <w:t xml:space="preserve">Yes </w:t>
      </w:r>
      <w:r>
        <w:rPr>
          <w:rFonts w:ascii="Wingdings" w:cs="Wingdings" w:eastAsia="Wingdings" w:hAnsi="Wingdings"/>
          <w:sz w:val="14"/>
          <w:szCs w:val="14"/>
          <w:b w:val="1"/>
          <w:bCs w:val="1"/>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Wingdings" w:cs="Wingdings" w:eastAsia="Wingdings" w:hAnsi="Wingdings"/>
          <w:sz w:val="13"/>
          <w:szCs w:val="13"/>
          <w:b w:val="1"/>
          <w:bCs w:val="1"/>
          <w:color w:val="auto"/>
        </w:rPr>
        <w:t></w:t>
      </w:r>
    </w:p>
    <w:p>
      <w:pPr>
        <w:spacing w:after="0" w:line="78"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w:t>
      </w:r>
    </w:p>
    <w:p>
      <w:pPr>
        <w:spacing w:after="0" w:line="34"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w:t>
      </w:r>
    </w:p>
    <w:p>
      <w:pPr>
        <w:spacing w:after="0" w:line="34"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0" w:lineRule="exact"/>
        <w:rPr>
          <w:sz w:val="24"/>
          <w:szCs w:val="24"/>
          <w:color w:val="auto"/>
        </w:rPr>
      </w:pPr>
    </w:p>
    <w:p>
      <w:pPr>
        <w:spacing w:after="0"/>
        <w:tabs>
          <w:tab w:leader="none" w:pos="2840" w:val="left"/>
          <w:tab w:leader="none" w:pos="5160" w:val="left"/>
          <w:tab w:leader="none" w:pos="786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Wingdings" w:cs="Wingdings" w:eastAsia="Wingdings" w:hAnsi="Wingdings"/>
          <w:sz w:val="14"/>
          <w:szCs w:val="14"/>
          <w:b w:val="1"/>
          <w:bCs w:val="1"/>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Wingdings" w:cs="Wingdings" w:eastAsia="Wingdings" w:hAnsi="Wingdings"/>
          <w:sz w:val="14"/>
          <w:szCs w:val="14"/>
          <w:b w:val="1"/>
          <w:bCs w:val="1"/>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Wingdings" w:cs="Wingdings" w:eastAsia="Wingdings" w:hAnsi="Wingdings"/>
          <w:sz w:val="14"/>
          <w:szCs w:val="14"/>
          <w:b w:val="1"/>
          <w:bCs w:val="1"/>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Wingdings" w:cs="Wingdings" w:eastAsia="Wingdings" w:hAnsi="Wingdings"/>
          <w:sz w:val="14"/>
          <w:szCs w:val="14"/>
          <w:b w:val="1"/>
          <w:bCs w:val="1"/>
          <w:color w:val="auto"/>
        </w:rPr>
        <w:t></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Emerging Growth Company: </w:t>
      </w:r>
      <w:r>
        <w:rPr>
          <w:rFonts w:ascii="Wingdings" w:cs="Wingdings" w:eastAsia="Wingdings" w:hAnsi="Wingdings"/>
          <w:sz w:val="14"/>
          <w:szCs w:val="14"/>
          <w:b w:val="1"/>
          <w:bCs w:val="1"/>
          <w:color w:val="auto"/>
        </w:rPr>
        <w:t></w:t>
      </w:r>
    </w:p>
    <w:p>
      <w:pPr>
        <w:spacing w:after="0" w:line="91"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w:t>
      </w:r>
    </w:p>
    <w:p>
      <w:pPr>
        <w:spacing w:after="0" w:line="34" w:lineRule="exact"/>
        <w:rPr>
          <w:sz w:val="24"/>
          <w:szCs w:val="24"/>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w:t>
      </w:r>
    </w:p>
    <w:p>
      <w:pPr>
        <w:spacing w:after="0" w:line="60"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w:t>
      </w:r>
      <w:r>
        <w:rPr>
          <w:rFonts w:ascii="Wingdings" w:cs="Wingdings" w:eastAsia="Wingdings" w:hAnsi="Wingdings"/>
          <w:sz w:val="14"/>
          <w:szCs w:val="14"/>
          <w:b w:val="1"/>
          <w:bCs w:val="1"/>
          <w:color w:val="auto"/>
        </w:rPr>
        <w:t></w:t>
      </w:r>
    </w:p>
    <w:p>
      <w:pPr>
        <w:spacing w:after="0" w:line="52"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w:t>
      </w:r>
    </w:p>
    <w:p>
      <w:pPr>
        <w:spacing w:after="0" w:line="61" w:lineRule="exact"/>
        <w:rPr>
          <w:sz w:val="24"/>
          <w:szCs w:val="24"/>
          <w:color w:val="auto"/>
        </w:rPr>
      </w:pPr>
    </w:p>
    <w:p>
      <w:pPr>
        <w:spacing w:after="0"/>
        <w:tabs>
          <w:tab w:leader="none" w:pos="6020" w:val="left"/>
          <w:tab w:leader="none" w:pos="65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w:t>
      </w:r>
    </w:p>
    <w:p>
      <w:pPr>
        <w:spacing w:after="0" w:line="78"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aggregate market value of the registrant’s voting stock held by nonaffiliates on June 30, 2023, based on the closing price for the registrant’s Series A Common Stock on such date as reported on The Nasdaq Stock Market LLC, was approximately $18,140,031.*</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Shares of Common Stock outstanding at March 1, 2024: 5,352,490 shares (consisting of 4,737,852 shares of Series A Common Stock and 614,638 shares of Series B Common Stock).</w:t>
      </w:r>
    </w:p>
    <w:p>
      <w:pPr>
        <w:spacing w:after="0" w:line="78" w:lineRule="exact"/>
        <w:rPr>
          <w:sz w:val="24"/>
          <w:szCs w:val="24"/>
          <w:color w:val="auto"/>
        </w:rPr>
      </w:pPr>
    </w:p>
    <w:p>
      <w:pPr>
        <w:ind w:left="4540" w:right="800" w:hanging="4534"/>
        <w:spacing w:after="0" w:line="355" w:lineRule="auto"/>
        <w:tabs>
          <w:tab w:leader="none" w:pos="11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purposes of this calculation, the market value of a share of Series B Common Stock was assumed to be the same as a share of Series A Common Stock into which it is convertible. </w:t>
      </w:r>
      <w:r>
        <w:rPr>
          <w:rFonts w:ascii="Times New Roman" w:cs="Times New Roman" w:eastAsia="Times New Roman" w:hAnsi="Times New Roman"/>
          <w:sz w:val="14"/>
          <w:szCs w:val="14"/>
          <w:i w:val="1"/>
          <w:iCs w:val="1"/>
          <w:color w:val="auto"/>
        </w:rPr>
        <w:t>Documents incorporated by reference:</w:t>
      </w:r>
    </w:p>
    <w:p>
      <w:pPr>
        <w:spacing w:after="0" w:line="1"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Selected designated portions of the registrant’s definitive proxy statement, relating to the Annual Meeting of Shareholders to be held on May 9, 2024, are incorporated by reference into Parts II and III of this Annual Report.</w:t>
      </w:r>
    </w:p>
    <w:p>
      <w:pPr>
        <w:spacing w:after="0" w:line="10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DallasNews Corporation 2023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9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7"/>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60" w:type="dxa"/>
            <w:vAlign w:val="bottom"/>
            <w:gridSpan w:val="15"/>
          </w:tcPr>
          <w:p>
            <w:pPr>
              <w:jc w:val="center"/>
              <w:ind w:right="2360"/>
              <w:spacing w:after="0"/>
              <w:rPr>
                <w:sz w:val="20"/>
                <w:szCs w:val="20"/>
                <w:color w:val="auto"/>
              </w:rPr>
            </w:pPr>
            <w:r>
              <w:rPr>
                <w:rFonts w:ascii="Times New Roman" w:cs="Times New Roman" w:eastAsia="Times New Roman" w:hAnsi="Times New Roman"/>
                <w:sz w:val="25"/>
                <w:szCs w:val="25"/>
                <w:b w:val="1"/>
                <w:bCs w:val="1"/>
                <w:color w:val="auto"/>
                <w:w w:val="98"/>
              </w:rPr>
              <w:t>DALLASNEWS CORPORATION</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65"/>
        </w:trPr>
        <w:tc>
          <w:tcPr>
            <w:tcW w:w="9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0" w:type="dxa"/>
            <w:vAlign w:val="bottom"/>
            <w:gridSpan w:val="12"/>
          </w:tcPr>
          <w:p>
            <w:pPr>
              <w:jc w:val="center"/>
              <w:ind w:right="3420"/>
              <w:spacing w:after="0" w:line="265" w:lineRule="exact"/>
              <w:rPr>
                <w:sz w:val="20"/>
                <w:szCs w:val="20"/>
                <w:color w:val="auto"/>
              </w:rPr>
            </w:pPr>
            <w:r>
              <w:rPr>
                <w:rFonts w:ascii="Times New Roman" w:cs="Times New Roman" w:eastAsia="Times New Roman" w:hAnsi="Times New Roman"/>
                <w:sz w:val="25"/>
                <w:szCs w:val="25"/>
                <w:b w:val="1"/>
                <w:bCs w:val="1"/>
                <w:color w:val="auto"/>
                <w:w w:val="98"/>
              </w:rPr>
              <w:t>FORM 10-K</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326"/>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0" w:type="dxa"/>
            <w:vAlign w:val="bottom"/>
            <w:gridSpan w:val="13"/>
          </w:tcPr>
          <w:p>
            <w:pPr>
              <w:jc w:val="center"/>
              <w:ind w:right="2840"/>
              <w:spacing w:after="0"/>
              <w:rPr>
                <w:sz w:val="20"/>
                <w:szCs w:val="20"/>
                <w:color w:val="auto"/>
              </w:rPr>
            </w:pPr>
            <w:r>
              <w:rPr>
                <w:rFonts w:ascii="Times New Roman" w:cs="Times New Roman" w:eastAsia="Times New Roman" w:hAnsi="Times New Roman"/>
                <w:sz w:val="25"/>
                <w:szCs w:val="25"/>
                <w:b w:val="1"/>
                <w:bCs w:val="1"/>
                <w:color w:val="auto"/>
                <w:w w:val="97"/>
              </w:rPr>
              <w:t>TABLE OF CONTENTS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43"/>
        </w:trPr>
        <w:tc>
          <w:tcPr>
            <w:tcW w:w="9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45"/>
        </w:trPr>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800" w:type="dxa"/>
            <w:vAlign w:val="bottom"/>
            <w:tcBorders>
              <w:right w:val="single" w:sz="8" w:color="CCEEFF"/>
            </w:tcBorders>
            <w:gridSpan w:val="9"/>
            <w:shd w:val="clear" w:color="auto" w:fill="CCEEFF"/>
          </w:tcPr>
          <w:p>
            <w:pPr>
              <w:jc w:val="center"/>
              <w:ind w:right="4240"/>
              <w:spacing w:after="0" w:line="139" w:lineRule="exact"/>
              <w:rPr>
                <w:sz w:val="20"/>
                <w:szCs w:val="20"/>
                <w:color w:val="auto"/>
              </w:rPr>
            </w:pPr>
            <w:r>
              <w:rPr>
                <w:rFonts w:ascii="Times New Roman" w:cs="Times New Roman" w:eastAsia="Times New Roman" w:hAnsi="Times New Roman"/>
                <w:sz w:val="15"/>
                <w:szCs w:val="15"/>
                <w:b w:val="1"/>
                <w:bCs w:val="1"/>
                <w:color w:val="0000FF"/>
              </w:rPr>
              <w:t>PART I</w:t>
            </w:r>
          </w:p>
        </w:tc>
        <w:tc>
          <w:tcPr>
            <w:tcW w:w="5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59"/>
        </w:trPr>
        <w:tc>
          <w:tcPr>
            <w:tcW w:w="920" w:type="dxa"/>
            <w:vAlign w:val="bottom"/>
            <w:tcBorders>
              <w:top w:val="single" w:sz="8" w:color="CCEEFF"/>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Item 1.</w:t>
            </w:r>
          </w:p>
        </w:tc>
        <w:tc>
          <w:tcPr>
            <w:tcW w:w="4420" w:type="dxa"/>
            <w:vAlign w:val="bottom"/>
            <w:tcBorders>
              <w:top w:val="single" w:sz="8" w:color="CCEEFF"/>
            </w:tcBorders>
            <w:gridSpan w:val="13"/>
          </w:tcPr>
          <w:p>
            <w:pPr>
              <w:spacing w:after="0" w:line="159" w:lineRule="exact"/>
              <w:rPr>
                <w:sz w:val="20"/>
                <w:szCs w:val="20"/>
                <w:color w:val="auto"/>
              </w:rPr>
            </w:pPr>
            <w:r>
              <w:rPr>
                <w:rFonts w:ascii="Times New Roman" w:cs="Times New Roman" w:eastAsia="Times New Roman" w:hAnsi="Times New Roman"/>
                <w:sz w:val="16"/>
                <w:szCs w:val="16"/>
                <w:color w:val="0000FF"/>
              </w:rPr>
              <w:t>Business</w:t>
            </w:r>
          </w:p>
        </w:tc>
        <w:tc>
          <w:tcPr>
            <w:tcW w:w="640" w:type="dxa"/>
            <w:vAlign w:val="bottom"/>
            <w:tcBorders>
              <w:top w:val="single" w:sz="8" w:color="0000FF"/>
            </w:tcBorders>
            <w:gridSpan w:val="2"/>
          </w:tcPr>
          <w:p>
            <w:pPr>
              <w:spacing w:after="0"/>
              <w:rPr>
                <w:sz w:val="13"/>
                <w:szCs w:val="13"/>
                <w:color w:val="auto"/>
              </w:rPr>
            </w:pPr>
          </w:p>
        </w:tc>
        <w:tc>
          <w:tcPr>
            <w:tcW w:w="4160" w:type="dxa"/>
            <w:vAlign w:val="bottom"/>
            <w:tcBorders>
              <w:top w:val="single" w:sz="8" w:color="CCEEFF"/>
            </w:tcBorders>
            <w:gridSpan w:val="7"/>
          </w:tcPr>
          <w:p>
            <w:pPr>
              <w:spacing w:after="0"/>
              <w:rPr>
                <w:sz w:val="13"/>
                <w:szCs w:val="13"/>
                <w:color w:val="auto"/>
              </w:rPr>
            </w:pPr>
          </w:p>
        </w:tc>
        <w:tc>
          <w:tcPr>
            <w:tcW w:w="1100" w:type="dxa"/>
            <w:vAlign w:val="bottom"/>
            <w:tcBorders>
              <w:top w:val="single" w:sz="8" w:color="CCEEFF"/>
            </w:tcBorders>
            <w:gridSpan w:val="3"/>
          </w:tcPr>
          <w:p>
            <w:pPr>
              <w:spacing w:after="0" w:line="159" w:lineRule="exact"/>
              <w:rPr>
                <w:sz w:val="20"/>
                <w:szCs w:val="20"/>
                <w:color w:val="auto"/>
              </w:rPr>
            </w:pPr>
            <w:r>
              <w:rPr>
                <w:rFonts w:ascii="Times New Roman" w:cs="Times New Roman" w:eastAsia="Times New Roman" w:hAnsi="Times New Roman"/>
                <w:sz w:val="16"/>
                <w:szCs w:val="16"/>
                <w:color w:val="0000FF"/>
              </w:rPr>
              <w:t xml:space="preserve">PAGE </w:t>
            </w:r>
            <w:r>
              <w:rPr>
                <w:rFonts w:ascii="Times New Roman" w:cs="Times New Roman" w:eastAsia="Times New Roman" w:hAnsi="Times New Roman"/>
                <w:sz w:val="17"/>
                <w:szCs w:val="17"/>
                <w:color w:val="0000FF"/>
              </w:rPr>
              <w:t>3</w:t>
            </w:r>
          </w:p>
        </w:tc>
      </w:tr>
      <w:tr>
        <w:trPr>
          <w:trHeight w:val="27"/>
        </w:trPr>
        <w:tc>
          <w:tcPr>
            <w:tcW w:w="9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500" w:type="dxa"/>
            <w:vAlign w:val="bottom"/>
          </w:tcPr>
          <w:p>
            <w:pPr>
              <w:spacing w:after="0"/>
              <w:rPr>
                <w:sz w:val="2"/>
                <w:szCs w:val="2"/>
                <w:color w:val="auto"/>
              </w:rPr>
            </w:pPr>
          </w:p>
        </w:tc>
      </w:tr>
      <w:tr>
        <w:trPr>
          <w:trHeight w:val="146"/>
        </w:trPr>
        <w:tc>
          <w:tcPr>
            <w:tcW w:w="9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color w:val="auto"/>
              </w:rPr>
              <w:t>Item 1B.</w:t>
            </w:r>
          </w:p>
        </w:tc>
        <w:tc>
          <w:tcPr>
            <w:tcW w:w="9220" w:type="dxa"/>
            <w:vAlign w:val="bottom"/>
            <w:tcBorders>
              <w:right w:val="single" w:sz="8" w:color="CCEEFF"/>
            </w:tcBorders>
            <w:gridSpan w:val="22"/>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0000FF"/>
              </w:rPr>
              <w:t>Unresolved Staff Comments</w:t>
            </w:r>
          </w:p>
        </w:tc>
        <w:tc>
          <w:tcPr>
            <w:tcW w:w="1100" w:type="dxa"/>
            <w:vAlign w:val="bottom"/>
            <w:gridSpan w:val="3"/>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0000FF"/>
              </w:rPr>
              <w:t>PAGE 7</w:t>
            </w:r>
          </w:p>
        </w:tc>
      </w:tr>
      <w:tr>
        <w:trPr>
          <w:trHeight w:val="27"/>
        </w:trPr>
        <w:tc>
          <w:tcPr>
            <w:tcW w:w="92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6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8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46"/>
        </w:trPr>
        <w:tc>
          <w:tcPr>
            <w:tcW w:w="92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color w:val="auto"/>
              </w:rPr>
              <w:t>Item 1C.</w:t>
            </w:r>
          </w:p>
        </w:tc>
        <w:tc>
          <w:tcPr>
            <w:tcW w:w="900" w:type="dxa"/>
            <w:vAlign w:val="bottom"/>
            <w:gridSpan w:val="3"/>
          </w:tcPr>
          <w:p>
            <w:pPr>
              <w:spacing w:after="0" w:line="146" w:lineRule="exact"/>
              <w:rPr>
                <w:sz w:val="20"/>
                <w:szCs w:val="20"/>
                <w:color w:val="auto"/>
              </w:rPr>
            </w:pPr>
            <w:r>
              <w:rPr>
                <w:rFonts w:ascii="Times New Roman" w:cs="Times New Roman" w:eastAsia="Times New Roman" w:hAnsi="Times New Roman"/>
                <w:sz w:val="16"/>
                <w:szCs w:val="16"/>
                <w:color w:val="0000FF"/>
                <w:w w:val="97"/>
              </w:rPr>
              <w:t>Cybersecurity</w:t>
            </w:r>
          </w:p>
        </w:tc>
        <w:tc>
          <w:tcPr>
            <w:tcW w:w="900" w:type="dxa"/>
            <w:vAlign w:val="bottom"/>
            <w:gridSpan w:val="3"/>
          </w:tcPr>
          <w:p>
            <w:pPr>
              <w:spacing w:after="0"/>
              <w:rPr>
                <w:sz w:val="12"/>
                <w:szCs w:val="12"/>
                <w:color w:val="auto"/>
              </w:rPr>
            </w:pPr>
          </w:p>
        </w:tc>
        <w:tc>
          <w:tcPr>
            <w:tcW w:w="7420" w:type="dxa"/>
            <w:vAlign w:val="bottom"/>
            <w:gridSpan w:val="16"/>
          </w:tcPr>
          <w:p>
            <w:pPr>
              <w:spacing w:after="0"/>
              <w:rPr>
                <w:sz w:val="12"/>
                <w:szCs w:val="12"/>
                <w:color w:val="auto"/>
              </w:rPr>
            </w:pPr>
          </w:p>
        </w:tc>
        <w:tc>
          <w:tcPr>
            <w:tcW w:w="1100" w:type="dxa"/>
            <w:vAlign w:val="bottom"/>
            <w:gridSpan w:val="3"/>
          </w:tcPr>
          <w:p>
            <w:pPr>
              <w:spacing w:after="0" w:line="146" w:lineRule="exact"/>
              <w:rPr>
                <w:sz w:val="20"/>
                <w:szCs w:val="20"/>
                <w:color w:val="auto"/>
              </w:rPr>
            </w:pPr>
            <w:r>
              <w:rPr>
                <w:rFonts w:ascii="Times New Roman" w:cs="Times New Roman" w:eastAsia="Times New Roman" w:hAnsi="Times New Roman"/>
                <w:sz w:val="16"/>
                <w:szCs w:val="16"/>
                <w:color w:val="0000FF"/>
              </w:rPr>
              <w:t>PAGE 7</w:t>
            </w:r>
          </w:p>
        </w:tc>
      </w:tr>
      <w:tr>
        <w:trPr>
          <w:trHeight w:val="26"/>
        </w:trPr>
        <w:tc>
          <w:tcPr>
            <w:tcW w:w="9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46"/>
        </w:trPr>
        <w:tc>
          <w:tcPr>
            <w:tcW w:w="9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color w:val="auto"/>
              </w:rPr>
              <w:t>Item 2.</w:t>
            </w:r>
          </w:p>
        </w:tc>
        <w:tc>
          <w:tcPr>
            <w:tcW w:w="900" w:type="dxa"/>
            <w:vAlign w:val="bottom"/>
            <w:gridSpan w:val="3"/>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0000FF"/>
              </w:rPr>
              <w:t>Properties</w:t>
            </w:r>
          </w:p>
        </w:tc>
        <w:tc>
          <w:tcPr>
            <w:tcW w:w="8320" w:type="dxa"/>
            <w:vAlign w:val="bottom"/>
            <w:tcBorders>
              <w:right w:val="single" w:sz="8" w:color="CCEEFF"/>
            </w:tcBorders>
            <w:gridSpan w:val="19"/>
            <w:shd w:val="clear" w:color="auto" w:fill="CCEEFF"/>
          </w:tcPr>
          <w:p>
            <w:pPr>
              <w:spacing w:after="0"/>
              <w:rPr>
                <w:sz w:val="12"/>
                <w:szCs w:val="12"/>
                <w:color w:val="auto"/>
              </w:rPr>
            </w:pPr>
          </w:p>
        </w:tc>
        <w:tc>
          <w:tcPr>
            <w:tcW w:w="1100" w:type="dxa"/>
            <w:vAlign w:val="bottom"/>
            <w:gridSpan w:val="3"/>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0000FF"/>
              </w:rPr>
              <w:t>PAGE 9</w:t>
            </w:r>
          </w:p>
        </w:tc>
      </w:tr>
      <w:tr>
        <w:trPr>
          <w:trHeight w:val="27"/>
        </w:trPr>
        <w:tc>
          <w:tcPr>
            <w:tcW w:w="92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20" w:type="dxa"/>
            <w:vAlign w:val="bottom"/>
            <w:tcBorders>
              <w:right w:val="single" w:sz="8" w:color="CCEEFF"/>
            </w:tcBorders>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8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46"/>
        </w:trPr>
        <w:tc>
          <w:tcPr>
            <w:tcW w:w="92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color w:val="auto"/>
              </w:rPr>
              <w:t>Item 3.</w:t>
            </w:r>
          </w:p>
        </w:tc>
        <w:tc>
          <w:tcPr>
            <w:tcW w:w="1180" w:type="dxa"/>
            <w:vAlign w:val="bottom"/>
            <w:gridSpan w:val="4"/>
          </w:tcPr>
          <w:p>
            <w:pPr>
              <w:spacing w:after="0" w:line="146" w:lineRule="exact"/>
              <w:rPr>
                <w:sz w:val="20"/>
                <w:szCs w:val="20"/>
                <w:color w:val="auto"/>
              </w:rPr>
            </w:pPr>
            <w:r>
              <w:rPr>
                <w:rFonts w:ascii="Times New Roman" w:cs="Times New Roman" w:eastAsia="Times New Roman" w:hAnsi="Times New Roman"/>
                <w:sz w:val="16"/>
                <w:szCs w:val="16"/>
                <w:color w:val="0000FF"/>
                <w:w w:val="97"/>
              </w:rPr>
              <w:t>Legal Proceedings</w:t>
            </w:r>
          </w:p>
        </w:tc>
        <w:tc>
          <w:tcPr>
            <w:tcW w:w="8040" w:type="dxa"/>
            <w:vAlign w:val="bottom"/>
            <w:gridSpan w:val="18"/>
          </w:tcPr>
          <w:p>
            <w:pPr>
              <w:spacing w:after="0"/>
              <w:rPr>
                <w:sz w:val="12"/>
                <w:szCs w:val="12"/>
                <w:color w:val="auto"/>
              </w:rPr>
            </w:pPr>
          </w:p>
        </w:tc>
        <w:tc>
          <w:tcPr>
            <w:tcW w:w="1100" w:type="dxa"/>
            <w:vAlign w:val="bottom"/>
            <w:gridSpan w:val="3"/>
          </w:tcPr>
          <w:p>
            <w:pPr>
              <w:spacing w:after="0" w:line="146" w:lineRule="exact"/>
              <w:rPr>
                <w:sz w:val="20"/>
                <w:szCs w:val="20"/>
                <w:color w:val="auto"/>
              </w:rPr>
            </w:pPr>
            <w:r>
              <w:rPr>
                <w:rFonts w:ascii="Times New Roman" w:cs="Times New Roman" w:eastAsia="Times New Roman" w:hAnsi="Times New Roman"/>
                <w:sz w:val="16"/>
                <w:szCs w:val="16"/>
                <w:color w:val="0000FF"/>
              </w:rPr>
              <w:t>PAGE 9</w:t>
            </w:r>
          </w:p>
        </w:tc>
      </w:tr>
      <w:tr>
        <w:trPr>
          <w:trHeight w:val="27"/>
        </w:trPr>
        <w:tc>
          <w:tcPr>
            <w:tcW w:w="9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52"/>
        </w:trPr>
        <w:tc>
          <w:tcPr>
            <w:tcW w:w="9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color w:val="auto"/>
              </w:rPr>
              <w:t>Item 4.</w:t>
            </w:r>
          </w:p>
        </w:tc>
        <w:tc>
          <w:tcPr>
            <w:tcW w:w="9220" w:type="dxa"/>
            <w:vAlign w:val="bottom"/>
            <w:tcBorders>
              <w:right w:val="single" w:sz="8" w:color="CCEEFF"/>
            </w:tcBorders>
            <w:gridSpan w:val="22"/>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0000FF"/>
              </w:rPr>
              <w:t>Mine Safety Disclosures</w:t>
            </w:r>
          </w:p>
        </w:tc>
        <w:tc>
          <w:tcPr>
            <w:tcW w:w="1100" w:type="dxa"/>
            <w:vAlign w:val="bottom"/>
            <w:gridSpan w:val="3"/>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0000FF"/>
              </w:rPr>
              <w:t>PAGE 9</w:t>
            </w:r>
          </w:p>
        </w:tc>
      </w:tr>
      <w:tr>
        <w:trPr>
          <w:trHeight w:val="185"/>
        </w:trPr>
        <w:tc>
          <w:tcPr>
            <w:tcW w:w="9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r>
      <w:tr>
        <w:trPr>
          <w:trHeight w:val="159"/>
        </w:trPr>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800" w:type="dxa"/>
            <w:vAlign w:val="bottom"/>
            <w:tcBorders>
              <w:right w:val="single" w:sz="8" w:color="CCEEFF"/>
            </w:tcBorders>
            <w:gridSpan w:val="9"/>
            <w:shd w:val="clear" w:color="auto" w:fill="CCEEFF"/>
          </w:tcPr>
          <w:p>
            <w:pPr>
              <w:jc w:val="center"/>
              <w:ind w:right="4200"/>
              <w:spacing w:after="0" w:line="159" w:lineRule="exact"/>
              <w:rPr>
                <w:sz w:val="20"/>
                <w:szCs w:val="20"/>
                <w:color w:val="auto"/>
              </w:rPr>
            </w:pPr>
            <w:r>
              <w:rPr>
                <w:rFonts w:ascii="Times New Roman" w:cs="Times New Roman" w:eastAsia="Times New Roman" w:hAnsi="Times New Roman"/>
                <w:sz w:val="18"/>
                <w:szCs w:val="18"/>
                <w:b w:val="1"/>
                <w:bCs w:val="1"/>
                <w:color w:val="0000FF"/>
                <w:w w:val="88"/>
              </w:rPr>
              <w:t>PART II</w:t>
            </w:r>
          </w:p>
        </w:tc>
        <w:tc>
          <w:tcPr>
            <w:tcW w:w="52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27"/>
        </w:trPr>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tcBorders>
              <w:right w:val="single" w:sz="8" w:color="0000FF"/>
            </w:tcBorders>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8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52"/>
        </w:trPr>
        <w:tc>
          <w:tcPr>
            <w:tcW w:w="92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color w:val="auto"/>
              </w:rPr>
              <w:t>Item 5.</w:t>
            </w:r>
          </w:p>
        </w:tc>
        <w:tc>
          <w:tcPr>
            <w:tcW w:w="7140" w:type="dxa"/>
            <w:vAlign w:val="bottom"/>
            <w:gridSpan w:val="21"/>
          </w:tcPr>
          <w:p>
            <w:pPr>
              <w:spacing w:after="0" w:line="146" w:lineRule="exact"/>
              <w:rPr>
                <w:sz w:val="20"/>
                <w:szCs w:val="20"/>
                <w:color w:val="auto"/>
              </w:rPr>
            </w:pPr>
            <w:r>
              <w:rPr>
                <w:rFonts w:ascii="Times New Roman" w:cs="Times New Roman" w:eastAsia="Times New Roman" w:hAnsi="Times New Roman"/>
                <w:sz w:val="16"/>
                <w:szCs w:val="16"/>
                <w:color w:val="0000FF"/>
                <w:w w:val="98"/>
              </w:rPr>
              <w:t>Market for Registrant’s Common Equity, Related Stockholder Matters and Issuer Purchases of Equity Securities</w:t>
            </w:r>
          </w:p>
        </w:tc>
        <w:tc>
          <w:tcPr>
            <w:tcW w:w="2080" w:type="dxa"/>
            <w:vAlign w:val="bottom"/>
          </w:tcPr>
          <w:p>
            <w:pPr>
              <w:spacing w:after="0"/>
              <w:rPr>
                <w:sz w:val="13"/>
                <w:szCs w:val="13"/>
                <w:color w:val="auto"/>
              </w:rPr>
            </w:pPr>
          </w:p>
        </w:tc>
        <w:tc>
          <w:tcPr>
            <w:tcW w:w="1100" w:type="dxa"/>
            <w:vAlign w:val="bottom"/>
            <w:gridSpan w:val="3"/>
          </w:tcPr>
          <w:p>
            <w:pPr>
              <w:spacing w:after="0" w:line="146" w:lineRule="exact"/>
              <w:rPr>
                <w:sz w:val="20"/>
                <w:szCs w:val="20"/>
                <w:color w:val="auto"/>
              </w:rPr>
            </w:pPr>
            <w:r>
              <w:rPr>
                <w:rFonts w:ascii="Times New Roman" w:cs="Times New Roman" w:eastAsia="Times New Roman" w:hAnsi="Times New Roman"/>
                <w:sz w:val="16"/>
                <w:szCs w:val="16"/>
                <w:color w:val="0000FF"/>
              </w:rPr>
              <w:t>PAGE 10</w:t>
            </w:r>
          </w:p>
        </w:tc>
      </w:tr>
      <w:tr>
        <w:trPr>
          <w:trHeight w:val="146"/>
        </w:trPr>
        <w:tc>
          <w:tcPr>
            <w:tcW w:w="9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color w:val="auto"/>
              </w:rPr>
              <w:t>Item 7.</w:t>
            </w:r>
          </w:p>
        </w:tc>
        <w:tc>
          <w:tcPr>
            <w:tcW w:w="7140" w:type="dxa"/>
            <w:vAlign w:val="bottom"/>
            <w:tcBorders>
              <w:top w:val="single" w:sz="8" w:color="0000FF"/>
            </w:tcBorders>
            <w:gridSpan w:val="21"/>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208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top w:val="single" w:sz="8" w:color="0000FF"/>
            </w:tcBorders>
            <w:gridSpan w:val="2"/>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0000FF"/>
                <w:w w:val="93"/>
              </w:rPr>
              <w:t>PAGE 11</w:t>
            </w:r>
          </w:p>
        </w:tc>
        <w:tc>
          <w:tcPr>
            <w:tcW w:w="500" w:type="dxa"/>
            <w:vAlign w:val="bottom"/>
            <w:shd w:val="clear" w:color="auto" w:fill="CCEEFF"/>
          </w:tcPr>
          <w:p>
            <w:pPr>
              <w:spacing w:after="0"/>
              <w:rPr>
                <w:sz w:val="12"/>
                <w:szCs w:val="12"/>
                <w:color w:val="auto"/>
              </w:rPr>
            </w:pPr>
          </w:p>
        </w:tc>
      </w:tr>
      <w:tr>
        <w:trPr>
          <w:trHeight w:val="26"/>
        </w:trPr>
        <w:tc>
          <w:tcPr>
            <w:tcW w:w="92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20" w:type="dxa"/>
            <w:vAlign w:val="bottom"/>
            <w:tcBorders>
              <w:right w:val="single" w:sz="8" w:color="CCEEFF"/>
            </w:tcBorders>
            <w:shd w:val="clear" w:color="auto" w:fill="0000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8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46"/>
        </w:trPr>
        <w:tc>
          <w:tcPr>
            <w:tcW w:w="92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color w:val="auto"/>
              </w:rPr>
              <w:t>Item 8.</w:t>
            </w:r>
          </w:p>
        </w:tc>
        <w:tc>
          <w:tcPr>
            <w:tcW w:w="5760" w:type="dxa"/>
            <w:vAlign w:val="bottom"/>
            <w:gridSpan w:val="17"/>
          </w:tcPr>
          <w:p>
            <w:pPr>
              <w:spacing w:after="0" w:line="146" w:lineRule="exact"/>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3460" w:type="dxa"/>
            <w:vAlign w:val="bottom"/>
            <w:gridSpan w:val="5"/>
          </w:tcPr>
          <w:p>
            <w:pPr>
              <w:spacing w:after="0"/>
              <w:rPr>
                <w:sz w:val="12"/>
                <w:szCs w:val="12"/>
                <w:color w:val="auto"/>
              </w:rPr>
            </w:pPr>
          </w:p>
        </w:tc>
        <w:tc>
          <w:tcPr>
            <w:tcW w:w="1100" w:type="dxa"/>
            <w:vAlign w:val="bottom"/>
            <w:gridSpan w:val="3"/>
          </w:tcPr>
          <w:p>
            <w:pPr>
              <w:spacing w:after="0" w:line="146" w:lineRule="exact"/>
              <w:rPr>
                <w:sz w:val="20"/>
                <w:szCs w:val="20"/>
                <w:color w:val="auto"/>
              </w:rPr>
            </w:pPr>
            <w:r>
              <w:rPr>
                <w:rFonts w:ascii="Times New Roman" w:cs="Times New Roman" w:eastAsia="Times New Roman" w:hAnsi="Times New Roman"/>
                <w:sz w:val="16"/>
                <w:szCs w:val="16"/>
                <w:color w:val="0000FF"/>
              </w:rPr>
              <w:t>PAGE 18</w:t>
            </w:r>
          </w:p>
        </w:tc>
      </w:tr>
      <w:tr>
        <w:trPr>
          <w:trHeight w:val="27"/>
        </w:trPr>
        <w:tc>
          <w:tcPr>
            <w:tcW w:w="9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r>
      <w:tr>
        <w:trPr>
          <w:trHeight w:val="146"/>
        </w:trPr>
        <w:tc>
          <w:tcPr>
            <w:tcW w:w="9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color w:val="auto"/>
              </w:rPr>
              <w:t>Item 9.</w:t>
            </w:r>
          </w:p>
        </w:tc>
        <w:tc>
          <w:tcPr>
            <w:tcW w:w="9220" w:type="dxa"/>
            <w:vAlign w:val="bottom"/>
            <w:tcBorders>
              <w:right w:val="single" w:sz="8" w:color="CCEEFF"/>
            </w:tcBorders>
            <w:gridSpan w:val="22"/>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1100" w:type="dxa"/>
            <w:vAlign w:val="bottom"/>
            <w:gridSpan w:val="3"/>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0000FF"/>
              </w:rPr>
              <w:t>PAGE 18</w:t>
            </w:r>
          </w:p>
        </w:tc>
      </w:tr>
      <w:tr>
        <w:trPr>
          <w:trHeight w:val="27"/>
        </w:trPr>
        <w:tc>
          <w:tcPr>
            <w:tcW w:w="92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8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52"/>
        </w:trPr>
        <w:tc>
          <w:tcPr>
            <w:tcW w:w="92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color w:val="auto"/>
              </w:rPr>
              <w:t>Item 9A.</w:t>
            </w:r>
          </w:p>
        </w:tc>
        <w:tc>
          <w:tcPr>
            <w:tcW w:w="5760" w:type="dxa"/>
            <w:vAlign w:val="bottom"/>
            <w:gridSpan w:val="17"/>
          </w:tcPr>
          <w:p>
            <w:pPr>
              <w:spacing w:after="0" w:line="146" w:lineRule="exact"/>
              <w:rPr>
                <w:sz w:val="20"/>
                <w:szCs w:val="20"/>
                <w:color w:val="auto"/>
              </w:rPr>
            </w:pPr>
            <w:r>
              <w:rPr>
                <w:rFonts w:ascii="Times New Roman" w:cs="Times New Roman" w:eastAsia="Times New Roman" w:hAnsi="Times New Roman"/>
                <w:sz w:val="16"/>
                <w:szCs w:val="16"/>
                <w:color w:val="0000FF"/>
              </w:rPr>
              <w:t>Controls and Procedures</w:t>
            </w:r>
          </w:p>
        </w:tc>
        <w:tc>
          <w:tcPr>
            <w:tcW w:w="3460" w:type="dxa"/>
            <w:vAlign w:val="bottom"/>
            <w:gridSpan w:val="5"/>
          </w:tcPr>
          <w:p>
            <w:pPr>
              <w:spacing w:after="0"/>
              <w:rPr>
                <w:sz w:val="13"/>
                <w:szCs w:val="13"/>
                <w:color w:val="auto"/>
              </w:rPr>
            </w:pPr>
          </w:p>
        </w:tc>
        <w:tc>
          <w:tcPr>
            <w:tcW w:w="1100" w:type="dxa"/>
            <w:vAlign w:val="bottom"/>
            <w:gridSpan w:val="3"/>
          </w:tcPr>
          <w:p>
            <w:pPr>
              <w:spacing w:after="0" w:line="146" w:lineRule="exact"/>
              <w:rPr>
                <w:sz w:val="20"/>
                <w:szCs w:val="20"/>
                <w:color w:val="auto"/>
              </w:rPr>
            </w:pPr>
            <w:r>
              <w:rPr>
                <w:rFonts w:ascii="Times New Roman" w:cs="Times New Roman" w:eastAsia="Times New Roman" w:hAnsi="Times New Roman"/>
                <w:sz w:val="16"/>
                <w:szCs w:val="16"/>
                <w:color w:val="0000FF"/>
              </w:rPr>
              <w:t>PAGE 18</w:t>
            </w:r>
          </w:p>
        </w:tc>
      </w:tr>
      <w:tr>
        <w:trPr>
          <w:trHeight w:val="172"/>
        </w:trPr>
        <w:tc>
          <w:tcPr>
            <w:tcW w:w="920" w:type="dxa"/>
            <w:vAlign w:val="bottom"/>
            <w:shd w:val="clear" w:color="auto" w:fill="CCEEFF"/>
          </w:tcPr>
          <w:p>
            <w:pPr>
              <w:spacing w:after="0"/>
              <w:rPr>
                <w:sz w:val="14"/>
                <w:szCs w:val="14"/>
                <w:color w:val="auto"/>
              </w:rPr>
            </w:pPr>
          </w:p>
        </w:tc>
        <w:tc>
          <w:tcPr>
            <w:tcW w:w="56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right w:val="single" w:sz="8" w:color="CCEE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420" w:type="dxa"/>
            <w:vAlign w:val="bottom"/>
            <w:tcBorders>
              <w:top w:val="single" w:sz="8" w:color="0000FF"/>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80" w:type="dxa"/>
            <w:vAlign w:val="bottom"/>
            <w:tcBorders>
              <w:right w:val="single" w:sz="8" w:color="CCEEFF"/>
            </w:tcBorders>
            <w:shd w:val="clear" w:color="auto" w:fill="CCEEFF"/>
          </w:tcPr>
          <w:p>
            <w:pPr>
              <w:spacing w:after="0"/>
              <w:rPr>
                <w:sz w:val="14"/>
                <w:szCs w:val="14"/>
                <w:color w:val="auto"/>
              </w:rPr>
            </w:pPr>
          </w:p>
        </w:tc>
        <w:tc>
          <w:tcPr>
            <w:tcW w:w="5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bottom w:val="single" w:sz="8" w:color="0000FF"/>
            </w:tcBorders>
            <w:gridSpan w:val="3"/>
          </w:tcPr>
          <w:p>
            <w:pPr>
              <w:jc w:val="center"/>
              <w:spacing w:after="0" w:line="159" w:lineRule="exact"/>
              <w:rPr>
                <w:sz w:val="20"/>
                <w:szCs w:val="20"/>
                <w:color w:val="auto"/>
              </w:rPr>
            </w:pPr>
            <w:r>
              <w:rPr>
                <w:rFonts w:ascii="Times New Roman" w:cs="Times New Roman" w:eastAsia="Times New Roman" w:hAnsi="Times New Roman"/>
                <w:sz w:val="18"/>
                <w:szCs w:val="18"/>
                <w:b w:val="1"/>
                <w:bCs w:val="1"/>
                <w:color w:val="0000FF"/>
                <w:w w:val="96"/>
              </w:rPr>
              <w:t>PART III</w:t>
            </w:r>
          </w:p>
        </w:tc>
        <w:tc>
          <w:tcPr>
            <w:tcW w:w="4160" w:type="dxa"/>
            <w:vAlign w:val="bottom"/>
            <w:gridSpan w:val="7"/>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6"/>
        </w:trPr>
        <w:tc>
          <w:tcPr>
            <w:tcW w:w="9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color w:val="auto"/>
              </w:rPr>
              <w:t>Item 10.</w:t>
            </w:r>
          </w:p>
        </w:tc>
        <w:tc>
          <w:tcPr>
            <w:tcW w:w="3620" w:type="dxa"/>
            <w:vAlign w:val="bottom"/>
            <w:gridSpan w:val="10"/>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0000FF"/>
                <w:w w:val="98"/>
              </w:rPr>
              <w:t>Directors, Executive Officers and Corporate Governance</w:t>
            </w:r>
          </w:p>
        </w:tc>
        <w:tc>
          <w:tcPr>
            <w:tcW w:w="5600" w:type="dxa"/>
            <w:vAlign w:val="bottom"/>
            <w:tcBorders>
              <w:right w:val="single" w:sz="8" w:color="CCEEFF"/>
            </w:tcBorders>
            <w:gridSpan w:val="12"/>
            <w:shd w:val="clear" w:color="auto" w:fill="CCEEFF"/>
          </w:tcPr>
          <w:p>
            <w:pPr>
              <w:spacing w:after="0"/>
              <w:rPr>
                <w:sz w:val="12"/>
                <w:szCs w:val="12"/>
                <w:color w:val="auto"/>
              </w:rPr>
            </w:pPr>
          </w:p>
        </w:tc>
        <w:tc>
          <w:tcPr>
            <w:tcW w:w="1100" w:type="dxa"/>
            <w:vAlign w:val="bottom"/>
            <w:gridSpan w:val="3"/>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0000FF"/>
              </w:rPr>
              <w:t>PAGE 20</w:t>
            </w:r>
          </w:p>
        </w:tc>
      </w:tr>
      <w:tr>
        <w:trPr>
          <w:trHeight w:val="27"/>
        </w:trPr>
        <w:tc>
          <w:tcPr>
            <w:tcW w:w="92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8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46"/>
        </w:trPr>
        <w:tc>
          <w:tcPr>
            <w:tcW w:w="92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color w:val="auto"/>
              </w:rPr>
              <w:t>Item 11.</w:t>
            </w:r>
          </w:p>
        </w:tc>
        <w:tc>
          <w:tcPr>
            <w:tcW w:w="1600" w:type="dxa"/>
            <w:vAlign w:val="bottom"/>
            <w:gridSpan w:val="5"/>
          </w:tcPr>
          <w:p>
            <w:pPr>
              <w:spacing w:after="0" w:line="146" w:lineRule="exact"/>
              <w:rPr>
                <w:sz w:val="20"/>
                <w:szCs w:val="20"/>
                <w:color w:val="auto"/>
              </w:rPr>
            </w:pPr>
            <w:r>
              <w:rPr>
                <w:rFonts w:ascii="Times New Roman" w:cs="Times New Roman" w:eastAsia="Times New Roman" w:hAnsi="Times New Roman"/>
                <w:sz w:val="16"/>
                <w:szCs w:val="16"/>
                <w:color w:val="0000FF"/>
                <w:w w:val="97"/>
              </w:rPr>
              <w:t>Executive Compensation</w:t>
            </w:r>
          </w:p>
        </w:tc>
        <w:tc>
          <w:tcPr>
            <w:tcW w:w="2020" w:type="dxa"/>
            <w:vAlign w:val="bottom"/>
            <w:gridSpan w:val="5"/>
          </w:tcPr>
          <w:p>
            <w:pPr>
              <w:spacing w:after="0"/>
              <w:rPr>
                <w:sz w:val="12"/>
                <w:szCs w:val="12"/>
                <w:color w:val="auto"/>
              </w:rPr>
            </w:pPr>
          </w:p>
        </w:tc>
        <w:tc>
          <w:tcPr>
            <w:tcW w:w="5600" w:type="dxa"/>
            <w:vAlign w:val="bottom"/>
            <w:gridSpan w:val="12"/>
          </w:tcPr>
          <w:p>
            <w:pPr>
              <w:spacing w:after="0"/>
              <w:rPr>
                <w:sz w:val="12"/>
                <w:szCs w:val="12"/>
                <w:color w:val="auto"/>
              </w:rPr>
            </w:pPr>
          </w:p>
        </w:tc>
        <w:tc>
          <w:tcPr>
            <w:tcW w:w="1100" w:type="dxa"/>
            <w:vAlign w:val="bottom"/>
            <w:gridSpan w:val="3"/>
          </w:tcPr>
          <w:p>
            <w:pPr>
              <w:spacing w:after="0" w:line="146" w:lineRule="exact"/>
              <w:rPr>
                <w:sz w:val="20"/>
                <w:szCs w:val="20"/>
                <w:color w:val="auto"/>
              </w:rPr>
            </w:pPr>
            <w:r>
              <w:rPr>
                <w:rFonts w:ascii="Times New Roman" w:cs="Times New Roman" w:eastAsia="Times New Roman" w:hAnsi="Times New Roman"/>
                <w:sz w:val="16"/>
                <w:szCs w:val="16"/>
                <w:color w:val="0000FF"/>
              </w:rPr>
              <w:t>PAGE 20</w:t>
            </w:r>
          </w:p>
        </w:tc>
      </w:tr>
      <w:tr>
        <w:trPr>
          <w:trHeight w:val="27"/>
        </w:trPr>
        <w:tc>
          <w:tcPr>
            <w:tcW w:w="9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r>
      <w:tr>
        <w:trPr>
          <w:trHeight w:val="146"/>
        </w:trPr>
        <w:tc>
          <w:tcPr>
            <w:tcW w:w="9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color w:val="auto"/>
              </w:rPr>
              <w:t>Item 12.</w:t>
            </w:r>
          </w:p>
        </w:tc>
        <w:tc>
          <w:tcPr>
            <w:tcW w:w="9220" w:type="dxa"/>
            <w:vAlign w:val="bottom"/>
            <w:tcBorders>
              <w:right w:val="single" w:sz="8" w:color="CCEEFF"/>
            </w:tcBorders>
            <w:gridSpan w:val="22"/>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100" w:type="dxa"/>
            <w:vAlign w:val="bottom"/>
            <w:gridSpan w:val="3"/>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0000FF"/>
              </w:rPr>
              <w:t>PAGE 20</w:t>
            </w:r>
          </w:p>
        </w:tc>
      </w:tr>
      <w:tr>
        <w:trPr>
          <w:trHeight w:val="26"/>
        </w:trPr>
        <w:tc>
          <w:tcPr>
            <w:tcW w:w="92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8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46"/>
        </w:trPr>
        <w:tc>
          <w:tcPr>
            <w:tcW w:w="92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color w:val="auto"/>
              </w:rPr>
              <w:t>Item 13.</w:t>
            </w:r>
          </w:p>
        </w:tc>
        <w:tc>
          <w:tcPr>
            <w:tcW w:w="4820" w:type="dxa"/>
            <w:vAlign w:val="bottom"/>
            <w:gridSpan w:val="14"/>
          </w:tcPr>
          <w:p>
            <w:pPr>
              <w:spacing w:after="0" w:line="146" w:lineRule="exact"/>
              <w:rPr>
                <w:sz w:val="20"/>
                <w:szCs w:val="20"/>
                <w:color w:val="auto"/>
              </w:rPr>
            </w:pPr>
            <w:r>
              <w:rPr>
                <w:rFonts w:ascii="Times New Roman" w:cs="Times New Roman" w:eastAsia="Times New Roman" w:hAnsi="Times New Roman"/>
                <w:sz w:val="16"/>
                <w:szCs w:val="16"/>
                <w:color w:val="0000FF"/>
                <w:w w:val="98"/>
              </w:rPr>
              <w:t>Certain Relationships and Related Transactions, and Director Independence</w:t>
            </w:r>
          </w:p>
        </w:tc>
        <w:tc>
          <w:tcPr>
            <w:tcW w:w="1620" w:type="dxa"/>
            <w:vAlign w:val="bottom"/>
            <w:gridSpan w:val="5"/>
          </w:tcPr>
          <w:p>
            <w:pPr>
              <w:spacing w:after="0"/>
              <w:rPr>
                <w:sz w:val="12"/>
                <w:szCs w:val="12"/>
                <w:color w:val="auto"/>
              </w:rPr>
            </w:pPr>
          </w:p>
        </w:tc>
        <w:tc>
          <w:tcPr>
            <w:tcW w:w="2780" w:type="dxa"/>
            <w:vAlign w:val="bottom"/>
            <w:gridSpan w:val="3"/>
          </w:tcPr>
          <w:p>
            <w:pPr>
              <w:spacing w:after="0"/>
              <w:rPr>
                <w:sz w:val="12"/>
                <w:szCs w:val="12"/>
                <w:color w:val="auto"/>
              </w:rPr>
            </w:pPr>
          </w:p>
        </w:tc>
        <w:tc>
          <w:tcPr>
            <w:tcW w:w="1100" w:type="dxa"/>
            <w:vAlign w:val="bottom"/>
            <w:gridSpan w:val="3"/>
          </w:tcPr>
          <w:p>
            <w:pPr>
              <w:spacing w:after="0" w:line="146" w:lineRule="exact"/>
              <w:rPr>
                <w:sz w:val="20"/>
                <w:szCs w:val="20"/>
                <w:color w:val="auto"/>
              </w:rPr>
            </w:pPr>
            <w:r>
              <w:rPr>
                <w:rFonts w:ascii="Times New Roman" w:cs="Times New Roman" w:eastAsia="Times New Roman" w:hAnsi="Times New Roman"/>
                <w:sz w:val="16"/>
                <w:szCs w:val="16"/>
                <w:color w:val="0000FF"/>
              </w:rPr>
              <w:t>PAGE 20</w:t>
            </w:r>
          </w:p>
        </w:tc>
      </w:tr>
      <w:tr>
        <w:trPr>
          <w:trHeight w:val="26"/>
        </w:trPr>
        <w:tc>
          <w:tcPr>
            <w:tcW w:w="9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r>
      <w:tr>
        <w:trPr>
          <w:trHeight w:val="152"/>
        </w:trPr>
        <w:tc>
          <w:tcPr>
            <w:tcW w:w="9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color w:val="auto"/>
              </w:rPr>
              <w:t>Item 14.</w:t>
            </w:r>
          </w:p>
        </w:tc>
        <w:tc>
          <w:tcPr>
            <w:tcW w:w="4820" w:type="dxa"/>
            <w:vAlign w:val="bottom"/>
            <w:gridSpan w:val="14"/>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0000FF"/>
              </w:rPr>
              <w:t>Principal Accountant Fees and Services</w:t>
            </w:r>
          </w:p>
        </w:tc>
        <w:tc>
          <w:tcPr>
            <w:tcW w:w="4400" w:type="dxa"/>
            <w:vAlign w:val="bottom"/>
            <w:tcBorders>
              <w:right w:val="single" w:sz="8" w:color="CCEEFF"/>
            </w:tcBorders>
            <w:gridSpan w:val="8"/>
            <w:shd w:val="clear" w:color="auto" w:fill="CCEEFF"/>
          </w:tcPr>
          <w:p>
            <w:pPr>
              <w:spacing w:after="0"/>
              <w:rPr>
                <w:sz w:val="13"/>
                <w:szCs w:val="13"/>
                <w:color w:val="auto"/>
              </w:rPr>
            </w:pPr>
          </w:p>
        </w:tc>
        <w:tc>
          <w:tcPr>
            <w:tcW w:w="1100" w:type="dxa"/>
            <w:vAlign w:val="bottom"/>
            <w:gridSpan w:val="3"/>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0000FF"/>
              </w:rPr>
              <w:t>PAGE 20</w:t>
            </w:r>
          </w:p>
        </w:tc>
      </w:tr>
      <w:tr>
        <w:trPr>
          <w:trHeight w:val="185"/>
        </w:trPr>
        <w:tc>
          <w:tcPr>
            <w:tcW w:w="9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760" w:type="dxa"/>
            <w:vAlign w:val="bottom"/>
            <w:tcBorders>
              <w:top w:val="single" w:sz="8" w:color="0000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r>
      <w:tr>
        <w:trPr>
          <w:trHeight w:val="166"/>
        </w:trPr>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right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right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640" w:type="dxa"/>
            <w:vAlign w:val="bottom"/>
            <w:tcBorders>
              <w:bottom w:val="single" w:sz="8" w:color="0000FF"/>
              <w:right w:val="single" w:sz="8" w:color="CCEEFF"/>
            </w:tcBorders>
            <w:gridSpan w:val="2"/>
            <w:shd w:val="clear" w:color="auto" w:fill="CCEEFF"/>
          </w:tcPr>
          <w:p>
            <w:pPr>
              <w:jc w:val="center"/>
              <w:spacing w:after="0" w:line="159" w:lineRule="exact"/>
              <w:rPr>
                <w:sz w:val="20"/>
                <w:szCs w:val="20"/>
                <w:color w:val="auto"/>
              </w:rPr>
            </w:pPr>
            <w:r>
              <w:rPr>
                <w:rFonts w:ascii="Times New Roman" w:cs="Times New Roman" w:eastAsia="Times New Roman" w:hAnsi="Times New Roman"/>
                <w:sz w:val="18"/>
                <w:szCs w:val="18"/>
                <w:b w:val="1"/>
                <w:bCs w:val="1"/>
                <w:color w:val="0000FF"/>
                <w:w w:val="87"/>
              </w:rPr>
              <w:t>PART IV</w:t>
            </w:r>
          </w:p>
        </w:tc>
        <w:tc>
          <w:tcPr>
            <w:tcW w:w="4160" w:type="dxa"/>
            <w:vAlign w:val="bottom"/>
            <w:tcBorders>
              <w:bottom w:val="single" w:sz="8" w:color="CCEEFF"/>
              <w:right w:val="single" w:sz="8" w:color="CCEEFF"/>
            </w:tcBorders>
            <w:gridSpan w:val="7"/>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left w:val="single" w:sz="8" w:color="CCEEFF"/>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r>
      <w:tr>
        <w:trPr>
          <w:trHeight w:val="146"/>
        </w:trPr>
        <w:tc>
          <w:tcPr>
            <w:tcW w:w="92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color w:val="auto"/>
              </w:rPr>
              <w:t>Item 15.</w:t>
            </w:r>
          </w:p>
        </w:tc>
        <w:tc>
          <w:tcPr>
            <w:tcW w:w="9220" w:type="dxa"/>
            <w:vAlign w:val="bottom"/>
            <w:gridSpan w:val="22"/>
          </w:tcPr>
          <w:p>
            <w:pPr>
              <w:spacing w:after="0" w:line="146" w:lineRule="exact"/>
              <w:rPr>
                <w:sz w:val="20"/>
                <w:szCs w:val="20"/>
                <w:color w:val="auto"/>
              </w:rPr>
            </w:pPr>
            <w:r>
              <w:rPr>
                <w:rFonts w:ascii="Times New Roman" w:cs="Times New Roman" w:eastAsia="Times New Roman" w:hAnsi="Times New Roman"/>
                <w:sz w:val="16"/>
                <w:szCs w:val="16"/>
                <w:color w:val="0000FF"/>
              </w:rPr>
              <w:t>Exhibits, Financial Statement Schedules</w:t>
            </w:r>
          </w:p>
        </w:tc>
        <w:tc>
          <w:tcPr>
            <w:tcW w:w="1100" w:type="dxa"/>
            <w:vAlign w:val="bottom"/>
            <w:gridSpan w:val="3"/>
          </w:tcPr>
          <w:p>
            <w:pPr>
              <w:spacing w:after="0" w:line="146" w:lineRule="exact"/>
              <w:rPr>
                <w:sz w:val="20"/>
                <w:szCs w:val="20"/>
                <w:color w:val="auto"/>
              </w:rPr>
            </w:pPr>
            <w:r>
              <w:rPr>
                <w:rFonts w:ascii="Times New Roman" w:cs="Times New Roman" w:eastAsia="Times New Roman" w:hAnsi="Times New Roman"/>
                <w:sz w:val="16"/>
                <w:szCs w:val="16"/>
                <w:color w:val="0000FF"/>
              </w:rPr>
              <w:t>PAGE 21</w:t>
            </w:r>
          </w:p>
        </w:tc>
      </w:tr>
      <w:tr>
        <w:trPr>
          <w:trHeight w:val="27"/>
        </w:trPr>
        <w:tc>
          <w:tcPr>
            <w:tcW w:w="9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r>
      <w:tr>
        <w:trPr>
          <w:trHeight w:val="166"/>
        </w:trPr>
        <w:tc>
          <w:tcPr>
            <w:tcW w:w="920" w:type="dxa"/>
            <w:vAlign w:val="bottom"/>
            <w:shd w:val="clear" w:color="auto" w:fill="CCEEFF"/>
          </w:tcPr>
          <w:p>
            <w:pPr>
              <w:spacing w:after="0"/>
              <w:rPr>
                <w:sz w:val="14"/>
                <w:szCs w:val="14"/>
                <w:color w:val="auto"/>
              </w:rPr>
            </w:pPr>
          </w:p>
        </w:tc>
        <w:tc>
          <w:tcPr>
            <w:tcW w:w="2560" w:type="dxa"/>
            <w:vAlign w:val="bottom"/>
            <w:tcBorders>
              <w:right w:val="single" w:sz="8" w:color="CCEEFF"/>
            </w:tcBorders>
            <w:gridSpan w:val="7"/>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Signatures</w:t>
            </w:r>
          </w:p>
        </w:tc>
        <w:tc>
          <w:tcPr>
            <w:tcW w:w="6660" w:type="dxa"/>
            <w:vAlign w:val="bottom"/>
            <w:tcBorders>
              <w:right w:val="single" w:sz="8" w:color="CCEEFF"/>
            </w:tcBorders>
            <w:gridSpan w:val="15"/>
            <w:shd w:val="clear" w:color="auto" w:fill="CCEEFF"/>
          </w:tcPr>
          <w:p>
            <w:pPr>
              <w:spacing w:after="0"/>
              <w:rPr>
                <w:sz w:val="14"/>
                <w:szCs w:val="14"/>
                <w:color w:val="auto"/>
              </w:rPr>
            </w:pPr>
          </w:p>
        </w:tc>
        <w:tc>
          <w:tcPr>
            <w:tcW w:w="1100" w:type="dxa"/>
            <w:vAlign w:val="bottom"/>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PAGE 23</w:t>
            </w:r>
          </w:p>
        </w:tc>
      </w:tr>
      <w:tr>
        <w:trPr>
          <w:trHeight w:val="185"/>
        </w:trPr>
        <w:tc>
          <w:tcPr>
            <w:tcW w:w="9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r>
      <w:tr>
        <w:trPr>
          <w:trHeight w:val="186"/>
        </w:trPr>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20" w:type="dxa"/>
            <w:vAlign w:val="bottom"/>
            <w:tcBorders>
              <w:right w:val="single" w:sz="8" w:color="CCEEFF"/>
            </w:tcBorders>
            <w:gridSpan w:val="16"/>
            <w:shd w:val="clear" w:color="auto" w:fill="CCEEFF"/>
          </w:tcPr>
          <w:p>
            <w:pPr>
              <w:ind w:left="500"/>
              <w:spacing w:after="0" w:line="186" w:lineRule="exact"/>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52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159"/>
        </w:trPr>
        <w:tc>
          <w:tcPr>
            <w:tcW w:w="920" w:type="dxa"/>
            <w:vAlign w:val="bottom"/>
          </w:tcPr>
          <w:p>
            <w:pPr>
              <w:spacing w:after="0"/>
              <w:rPr>
                <w:sz w:val="13"/>
                <w:szCs w:val="13"/>
                <w:color w:val="auto"/>
              </w:rPr>
            </w:pPr>
          </w:p>
        </w:tc>
        <w:tc>
          <w:tcPr>
            <w:tcW w:w="9220" w:type="dxa"/>
            <w:vAlign w:val="bottom"/>
            <w:gridSpan w:val="22"/>
          </w:tcPr>
          <w:p>
            <w:pPr>
              <w:spacing w:after="0" w:line="159" w:lineRule="exact"/>
              <w:rPr>
                <w:sz w:val="20"/>
                <w:szCs w:val="20"/>
                <w:color w:val="auto"/>
              </w:rPr>
            </w:pPr>
            <w:r>
              <w:rPr>
                <w:rFonts w:ascii="Times New Roman" w:cs="Times New Roman" w:eastAsia="Times New Roman" w:hAnsi="Times New Roman"/>
                <w:sz w:val="16"/>
                <w:szCs w:val="16"/>
                <w:color w:val="0000FF"/>
              </w:rPr>
              <w:t>Report of Independent Registered Public Accounting Firm (PCAOB ID Number 248)</w:t>
            </w:r>
          </w:p>
        </w:tc>
        <w:tc>
          <w:tcPr>
            <w:tcW w:w="1100" w:type="dxa"/>
            <w:vAlign w:val="bottom"/>
            <w:gridSpan w:val="3"/>
          </w:tcPr>
          <w:p>
            <w:pPr>
              <w:spacing w:after="0" w:line="159" w:lineRule="exact"/>
              <w:rPr>
                <w:sz w:val="20"/>
                <w:szCs w:val="20"/>
                <w:color w:val="auto"/>
              </w:rPr>
            </w:pPr>
            <w:r>
              <w:rPr>
                <w:rFonts w:ascii="Times New Roman" w:cs="Times New Roman" w:eastAsia="Times New Roman" w:hAnsi="Times New Roman"/>
                <w:sz w:val="16"/>
                <w:szCs w:val="16"/>
                <w:color w:val="0000FF"/>
              </w:rPr>
              <w:t>PAGE 25</w:t>
            </w:r>
          </w:p>
        </w:tc>
      </w:tr>
      <w:tr>
        <w:trPr>
          <w:trHeight w:val="27"/>
        </w:trPr>
        <w:tc>
          <w:tcPr>
            <w:tcW w:w="9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r>
      <w:tr>
        <w:trPr>
          <w:trHeight w:val="159"/>
        </w:trPr>
        <w:tc>
          <w:tcPr>
            <w:tcW w:w="920" w:type="dxa"/>
            <w:vAlign w:val="bottom"/>
            <w:shd w:val="clear" w:color="auto" w:fill="CCEEFF"/>
          </w:tcPr>
          <w:p>
            <w:pPr>
              <w:spacing w:after="0"/>
              <w:rPr>
                <w:sz w:val="13"/>
                <w:szCs w:val="13"/>
                <w:color w:val="auto"/>
              </w:rPr>
            </w:pPr>
          </w:p>
        </w:tc>
        <w:tc>
          <w:tcPr>
            <w:tcW w:w="9220" w:type="dxa"/>
            <w:vAlign w:val="bottom"/>
            <w:tcBorders>
              <w:right w:val="single" w:sz="8" w:color="CCEEFF"/>
            </w:tcBorders>
            <w:gridSpan w:val="22"/>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Consolidated Statements of Operations for the Years Ended December 31, 2023 and 2022</w:t>
            </w:r>
          </w:p>
        </w:tc>
        <w:tc>
          <w:tcPr>
            <w:tcW w:w="1100" w:type="dxa"/>
            <w:vAlign w:val="bottom"/>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PAGE 26</w:t>
            </w:r>
          </w:p>
        </w:tc>
      </w:tr>
      <w:tr>
        <w:trPr>
          <w:trHeight w:val="27"/>
        </w:trPr>
        <w:tc>
          <w:tcPr>
            <w:tcW w:w="92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20" w:type="dxa"/>
            <w:vAlign w:val="bottom"/>
            <w:tcBorders>
              <w:right w:val="single" w:sz="8" w:color="CCEEFF"/>
            </w:tcBorders>
            <w:shd w:val="clear" w:color="auto" w:fill="0000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8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59"/>
        </w:trPr>
        <w:tc>
          <w:tcPr>
            <w:tcW w:w="920" w:type="dxa"/>
            <w:vAlign w:val="bottom"/>
          </w:tcPr>
          <w:p>
            <w:pPr>
              <w:spacing w:after="0"/>
              <w:rPr>
                <w:sz w:val="13"/>
                <w:szCs w:val="13"/>
                <w:color w:val="auto"/>
              </w:rPr>
            </w:pPr>
          </w:p>
        </w:tc>
        <w:tc>
          <w:tcPr>
            <w:tcW w:w="9220" w:type="dxa"/>
            <w:vAlign w:val="bottom"/>
            <w:gridSpan w:val="22"/>
          </w:tcPr>
          <w:p>
            <w:pPr>
              <w:spacing w:after="0" w:line="159" w:lineRule="exact"/>
              <w:rPr>
                <w:sz w:val="20"/>
                <w:szCs w:val="20"/>
                <w:color w:val="auto"/>
              </w:rPr>
            </w:pPr>
            <w:r>
              <w:rPr>
                <w:rFonts w:ascii="Times New Roman" w:cs="Times New Roman" w:eastAsia="Times New Roman" w:hAnsi="Times New Roman"/>
                <w:sz w:val="16"/>
                <w:szCs w:val="16"/>
                <w:color w:val="0000FF"/>
              </w:rPr>
              <w:t>Consolidated Statements of Comprehensive Income (Loss) for the Years Ended December 31, 2023 and 2022</w:t>
            </w:r>
          </w:p>
        </w:tc>
        <w:tc>
          <w:tcPr>
            <w:tcW w:w="1100" w:type="dxa"/>
            <w:vAlign w:val="bottom"/>
            <w:gridSpan w:val="3"/>
          </w:tcPr>
          <w:p>
            <w:pPr>
              <w:spacing w:after="0" w:line="159" w:lineRule="exact"/>
              <w:rPr>
                <w:sz w:val="20"/>
                <w:szCs w:val="20"/>
                <w:color w:val="auto"/>
              </w:rPr>
            </w:pPr>
            <w:r>
              <w:rPr>
                <w:rFonts w:ascii="Times New Roman" w:cs="Times New Roman" w:eastAsia="Times New Roman" w:hAnsi="Times New Roman"/>
                <w:sz w:val="16"/>
                <w:szCs w:val="16"/>
                <w:color w:val="0000FF"/>
              </w:rPr>
              <w:t>PAGE 27</w:t>
            </w:r>
          </w:p>
        </w:tc>
      </w:tr>
      <w:tr>
        <w:trPr>
          <w:trHeight w:val="27"/>
        </w:trPr>
        <w:tc>
          <w:tcPr>
            <w:tcW w:w="9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r>
      <w:tr>
        <w:trPr>
          <w:trHeight w:val="159"/>
        </w:trPr>
        <w:tc>
          <w:tcPr>
            <w:tcW w:w="920" w:type="dxa"/>
            <w:vAlign w:val="bottom"/>
            <w:shd w:val="clear" w:color="auto" w:fill="CCEEFF"/>
          </w:tcPr>
          <w:p>
            <w:pPr>
              <w:spacing w:after="0"/>
              <w:rPr>
                <w:sz w:val="13"/>
                <w:szCs w:val="13"/>
                <w:color w:val="auto"/>
              </w:rPr>
            </w:pPr>
          </w:p>
        </w:tc>
        <w:tc>
          <w:tcPr>
            <w:tcW w:w="6960" w:type="dxa"/>
            <w:vAlign w:val="bottom"/>
            <w:gridSpan w:val="20"/>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Consolidated Balance Sheets as of December 31, 2023 and 2022</w:t>
            </w:r>
          </w:p>
        </w:tc>
        <w:tc>
          <w:tcPr>
            <w:tcW w:w="2260" w:type="dxa"/>
            <w:vAlign w:val="bottom"/>
            <w:tcBorders>
              <w:right w:val="single" w:sz="8" w:color="CCEEFF"/>
            </w:tcBorders>
            <w:gridSpan w:val="2"/>
            <w:shd w:val="clear" w:color="auto" w:fill="CCEEFF"/>
          </w:tcPr>
          <w:p>
            <w:pPr>
              <w:spacing w:after="0"/>
              <w:rPr>
                <w:sz w:val="13"/>
                <w:szCs w:val="13"/>
                <w:color w:val="auto"/>
              </w:rPr>
            </w:pPr>
          </w:p>
        </w:tc>
        <w:tc>
          <w:tcPr>
            <w:tcW w:w="1100" w:type="dxa"/>
            <w:vAlign w:val="bottom"/>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PAGE 28</w:t>
            </w:r>
          </w:p>
        </w:tc>
      </w:tr>
      <w:tr>
        <w:trPr>
          <w:trHeight w:val="26"/>
        </w:trPr>
        <w:tc>
          <w:tcPr>
            <w:tcW w:w="92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8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59"/>
        </w:trPr>
        <w:tc>
          <w:tcPr>
            <w:tcW w:w="920" w:type="dxa"/>
            <w:vAlign w:val="bottom"/>
          </w:tcPr>
          <w:p>
            <w:pPr>
              <w:spacing w:after="0"/>
              <w:rPr>
                <w:sz w:val="13"/>
                <w:szCs w:val="13"/>
                <w:color w:val="auto"/>
              </w:rPr>
            </w:pPr>
          </w:p>
        </w:tc>
        <w:tc>
          <w:tcPr>
            <w:tcW w:w="6360" w:type="dxa"/>
            <w:vAlign w:val="bottom"/>
            <w:gridSpan w:val="18"/>
          </w:tcPr>
          <w:p>
            <w:pPr>
              <w:spacing w:after="0" w:line="159" w:lineRule="exact"/>
              <w:rPr>
                <w:sz w:val="20"/>
                <w:szCs w:val="20"/>
                <w:color w:val="auto"/>
              </w:rPr>
            </w:pPr>
            <w:r>
              <w:rPr>
                <w:rFonts w:ascii="Times New Roman" w:cs="Times New Roman" w:eastAsia="Times New Roman" w:hAnsi="Times New Roman"/>
                <w:sz w:val="16"/>
                <w:szCs w:val="16"/>
                <w:color w:val="0000FF"/>
                <w:w w:val="98"/>
              </w:rPr>
              <w:t>Consolidated Statements of Shareholders’ Equity for the Years Ended December 31, 2023 and 2022</w:t>
            </w:r>
          </w:p>
        </w:tc>
        <w:tc>
          <w:tcPr>
            <w:tcW w:w="2860" w:type="dxa"/>
            <w:vAlign w:val="bottom"/>
            <w:gridSpan w:val="4"/>
          </w:tcPr>
          <w:p>
            <w:pPr>
              <w:spacing w:after="0"/>
              <w:rPr>
                <w:sz w:val="13"/>
                <w:szCs w:val="13"/>
                <w:color w:val="auto"/>
              </w:rPr>
            </w:pPr>
          </w:p>
        </w:tc>
        <w:tc>
          <w:tcPr>
            <w:tcW w:w="1100" w:type="dxa"/>
            <w:vAlign w:val="bottom"/>
            <w:gridSpan w:val="3"/>
          </w:tcPr>
          <w:p>
            <w:pPr>
              <w:spacing w:after="0" w:line="159" w:lineRule="exact"/>
              <w:rPr>
                <w:sz w:val="20"/>
                <w:szCs w:val="20"/>
                <w:color w:val="auto"/>
              </w:rPr>
            </w:pPr>
            <w:r>
              <w:rPr>
                <w:rFonts w:ascii="Times New Roman" w:cs="Times New Roman" w:eastAsia="Times New Roman" w:hAnsi="Times New Roman"/>
                <w:sz w:val="16"/>
                <w:szCs w:val="16"/>
                <w:color w:val="0000FF"/>
              </w:rPr>
              <w:t>PAGE 29</w:t>
            </w:r>
          </w:p>
        </w:tc>
      </w:tr>
      <w:tr>
        <w:trPr>
          <w:trHeight w:val="26"/>
        </w:trPr>
        <w:tc>
          <w:tcPr>
            <w:tcW w:w="9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r>
      <w:tr>
        <w:trPr>
          <w:trHeight w:val="159"/>
        </w:trPr>
        <w:tc>
          <w:tcPr>
            <w:tcW w:w="920" w:type="dxa"/>
            <w:vAlign w:val="bottom"/>
            <w:shd w:val="clear" w:color="auto" w:fill="CCEEFF"/>
          </w:tcPr>
          <w:p>
            <w:pPr>
              <w:spacing w:after="0"/>
              <w:rPr>
                <w:sz w:val="13"/>
                <w:szCs w:val="13"/>
                <w:color w:val="auto"/>
              </w:rPr>
            </w:pPr>
          </w:p>
        </w:tc>
        <w:tc>
          <w:tcPr>
            <w:tcW w:w="5760" w:type="dxa"/>
            <w:vAlign w:val="bottom"/>
            <w:tcBorders>
              <w:right w:val="single" w:sz="8" w:color="CCEEFF"/>
            </w:tcBorders>
            <w:gridSpan w:val="17"/>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8"/>
              </w:rPr>
              <w:t>Consolidated Statements of Cash Flows for the Years Ended December 31, 2023 and 2022</w:t>
            </w:r>
          </w:p>
        </w:tc>
        <w:tc>
          <w:tcPr>
            <w:tcW w:w="600" w:type="dxa"/>
            <w:vAlign w:val="bottom"/>
            <w:shd w:val="clear" w:color="auto" w:fill="CCEEFF"/>
          </w:tcPr>
          <w:p>
            <w:pPr>
              <w:spacing w:after="0"/>
              <w:rPr>
                <w:sz w:val="13"/>
                <w:szCs w:val="13"/>
                <w:color w:val="auto"/>
              </w:rPr>
            </w:pPr>
          </w:p>
        </w:tc>
        <w:tc>
          <w:tcPr>
            <w:tcW w:w="2860" w:type="dxa"/>
            <w:vAlign w:val="bottom"/>
            <w:tcBorders>
              <w:right w:val="single" w:sz="8" w:color="CCEEFF"/>
            </w:tcBorders>
            <w:gridSpan w:val="4"/>
            <w:shd w:val="clear" w:color="auto" w:fill="CCEEFF"/>
          </w:tcPr>
          <w:p>
            <w:pPr>
              <w:spacing w:after="0"/>
              <w:rPr>
                <w:sz w:val="13"/>
                <w:szCs w:val="13"/>
                <w:color w:val="auto"/>
              </w:rPr>
            </w:pPr>
          </w:p>
        </w:tc>
        <w:tc>
          <w:tcPr>
            <w:tcW w:w="1100" w:type="dxa"/>
            <w:vAlign w:val="bottom"/>
            <w:gridSpan w:val="3"/>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PAGE 30</w:t>
            </w:r>
          </w:p>
        </w:tc>
      </w:tr>
      <w:tr>
        <w:trPr>
          <w:trHeight w:val="27"/>
        </w:trPr>
        <w:tc>
          <w:tcPr>
            <w:tcW w:w="92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8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r>
      <w:tr>
        <w:trPr>
          <w:trHeight w:val="159"/>
        </w:trPr>
        <w:tc>
          <w:tcPr>
            <w:tcW w:w="920" w:type="dxa"/>
            <w:vAlign w:val="bottom"/>
          </w:tcPr>
          <w:p>
            <w:pPr>
              <w:spacing w:after="0"/>
              <w:rPr>
                <w:sz w:val="13"/>
                <w:szCs w:val="13"/>
                <w:color w:val="auto"/>
              </w:rPr>
            </w:pPr>
          </w:p>
        </w:tc>
        <w:tc>
          <w:tcPr>
            <w:tcW w:w="3020" w:type="dxa"/>
            <w:vAlign w:val="bottom"/>
            <w:gridSpan w:val="9"/>
          </w:tcPr>
          <w:p>
            <w:pPr>
              <w:spacing w:after="0" w:line="159" w:lineRule="exact"/>
              <w:rPr>
                <w:sz w:val="20"/>
                <w:szCs w:val="20"/>
                <w:color w:val="auto"/>
              </w:rPr>
            </w:pPr>
            <w:r>
              <w:rPr>
                <w:rFonts w:ascii="Times New Roman" w:cs="Times New Roman" w:eastAsia="Times New Roman" w:hAnsi="Times New Roman"/>
                <w:sz w:val="16"/>
                <w:szCs w:val="16"/>
                <w:color w:val="0000FF"/>
                <w:w w:val="98"/>
              </w:rPr>
              <w:t>Notes to the Consolidated Financial Statements</w:t>
            </w:r>
          </w:p>
        </w:tc>
        <w:tc>
          <w:tcPr>
            <w:tcW w:w="2740" w:type="dxa"/>
            <w:vAlign w:val="bottom"/>
            <w:gridSpan w:val="8"/>
          </w:tcPr>
          <w:p>
            <w:pPr>
              <w:spacing w:after="0"/>
              <w:rPr>
                <w:sz w:val="13"/>
                <w:szCs w:val="13"/>
                <w:color w:val="auto"/>
              </w:rPr>
            </w:pPr>
          </w:p>
        </w:tc>
        <w:tc>
          <w:tcPr>
            <w:tcW w:w="3460" w:type="dxa"/>
            <w:vAlign w:val="bottom"/>
            <w:gridSpan w:val="5"/>
          </w:tcPr>
          <w:p>
            <w:pPr>
              <w:spacing w:after="0"/>
              <w:rPr>
                <w:sz w:val="13"/>
                <w:szCs w:val="13"/>
                <w:color w:val="auto"/>
              </w:rPr>
            </w:pPr>
          </w:p>
        </w:tc>
        <w:tc>
          <w:tcPr>
            <w:tcW w:w="1100" w:type="dxa"/>
            <w:vAlign w:val="bottom"/>
            <w:gridSpan w:val="3"/>
          </w:tcPr>
          <w:p>
            <w:pPr>
              <w:spacing w:after="0" w:line="159" w:lineRule="exact"/>
              <w:rPr>
                <w:sz w:val="20"/>
                <w:szCs w:val="20"/>
                <w:color w:val="auto"/>
              </w:rPr>
            </w:pPr>
            <w:r>
              <w:rPr>
                <w:rFonts w:ascii="Times New Roman" w:cs="Times New Roman" w:eastAsia="Times New Roman" w:hAnsi="Times New Roman"/>
                <w:sz w:val="16"/>
                <w:szCs w:val="16"/>
                <w:color w:val="0000FF"/>
              </w:rPr>
              <w:t>PAGE 31</w:t>
            </w: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DallasNews Corporation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7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Statements in this Annual Report on Form 10-K concerning DallasNews Corporation’s (the “Company”) business outlook or future economic performance, revenues, expenses, cash balance, capital expenditures, investments, impairments, business initiatives, pension plan contributions and obligations, working capital, future financings and other financial and non-financial items that are not historical facts are “forward-looking statements” as the term is defined under applicable federal securities laws. Words such as “anticipate,” “assume,” “believe,” “can,” “could,” “estimate,” “forecast,” “intend,” “expect,” “may,” “project,” “plan,” “seek,” “should,” “target,” “will,” “would” and their opposites and similar expressions are intended to identify forward-looking statements. Forward-looking statements are subject to risks, uncertainties and other factors that could cause actual results to differ materially from those statements. Such risks, trends and uncertainties are, in most instances, beyond the Company’s control, and include changes in advertising demand and other economic conditions; consumers’ tastes; newsprint and distribution prices; program costs; the success of the Company’s digital strategy; labor relations; cybersecurity incidents; and technological obsolescence. Among other risks, there can be no guarantee that the Company’s board of directors will approve a quarterly dividend in future quarters or that the Company’s financial projections are accurate, as well as other risks described in this Annual Report on Form 10-K and the Company’s other public disclosures and filings with the Securities and Exchange Commission. Forward-looking statements, which are as of the date of this filing, are not updated to reflect events or circumstances after the date of the statement.</w:t>
      </w:r>
    </w:p>
    <w:p>
      <w:pPr>
        <w:spacing w:after="0" w:line="16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All dollar amounts presented herein the Annual Report on Form 10-K, except share and per share amounts, are presented in thousands, unless the context indicates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9"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 xml:space="preserve">DallasNews Corporation and its subsidiaries are referred to collectively herein as “DallasNews” or the “Company.” DallasNews was formed in February 2008 through a spin-off from its former parent company and is registered on The Nasdaq Stock Market LLC (Nasdaq trading symbol: DALN). DallasNews is the Dallas-based holding company of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and Medium Giant.</w:t>
      </w:r>
    </w:p>
    <w:p>
      <w:pPr>
        <w:spacing w:after="0" w:line="14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Dallas Morning News </w:t>
      </w:r>
      <w:r>
        <w:rPr>
          <w:rFonts w:ascii="Times New Roman" w:cs="Times New Roman" w:eastAsia="Times New Roman" w:hAnsi="Times New Roman"/>
          <w:sz w:val="18"/>
          <w:szCs w:val="18"/>
          <w:color w:val="auto"/>
        </w:rPr>
        <w:t>is Texas’ leading daily newspaper with an excellent journalistic reputation, intense regional focus and close community 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has won nine Pulitzer Prizes and is the oldest continuously operated business in Texas, dating back to 1842.</w:t>
      </w:r>
    </w:p>
    <w:p>
      <w:pPr>
        <w:spacing w:after="0" w:line="135" w:lineRule="exact"/>
        <w:rPr>
          <w:sz w:val="20"/>
          <w:szCs w:val="20"/>
          <w:color w:val="auto"/>
        </w:rPr>
      </w:pPr>
    </w:p>
    <w:p>
      <w:pPr>
        <w:ind w:right="480"/>
        <w:spacing w:after="0" w:line="243" w:lineRule="auto"/>
        <w:rPr>
          <w:sz w:val="20"/>
          <w:szCs w:val="20"/>
          <w:color w:val="auto"/>
        </w:rPr>
      </w:pPr>
      <w:r>
        <w:rPr>
          <w:rFonts w:ascii="Times New Roman" w:cs="Times New Roman" w:eastAsia="Times New Roman" w:hAnsi="Times New Roman"/>
          <w:sz w:val="18"/>
          <w:szCs w:val="18"/>
          <w:color w:val="auto"/>
        </w:rPr>
        <w:t>In addition, the Company has a full-service agency, Medium Giant, with capabilities including strategy, creative and media management with a focus on strategic and digital marketing, and data intelligence that provide a measurable return on investment to its clients.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166"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The Company’s goal is to create value for investors by being the premier provider of relevant and original local journalism in North Texas so citizens can make informed choices about their lives and the life of the communities in which they live. This commitment to excellence in journalism attracts and retains subscribers to the print edition, the digital site, and applications on mobile devices.</w:t>
      </w:r>
    </w:p>
    <w:p>
      <w:pPr>
        <w:spacing w:after="0" w:line="15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print media industry has encountered continuous declines in revenue primarily due to the secular shift of readers and advertisers to digital platforms. The Company has sought to limit its exposure to these industry risks through greater development of its digital platforms for delivery of news and advertising, and leveraging its brand and personnel to enhance its media agency solutions. However, these improvements may not result in a sufficient increase in revenue to offset the declines the Company is experiencing in its traditional print media business.</w:t>
      </w:r>
    </w:p>
    <w:p>
      <w:pPr>
        <w:spacing w:after="0" w:line="15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The Company operates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dallasnews.com</w:t>
      </w:r>
      <w:r>
        <w:rPr>
          <w:rFonts w:ascii="Times New Roman" w:cs="Times New Roman" w:eastAsia="Times New Roman" w:hAnsi="Times New Roman"/>
          <w:sz w:val="18"/>
          <w:szCs w:val="18"/>
          <w:color w:val="auto"/>
        </w:rPr>
        <w:t>), Texas’ leading newspaper. These operations generate revenue from sales of advertising within the Company’s newspaper and digital platforms, subscriptions and retail sales of its newspaper, commercial printing and distribution services primarily related to national newspapers.</w:t>
      </w:r>
    </w:p>
    <w:p>
      <w:pPr>
        <w:spacing w:after="0" w:line="15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i w:val="1"/>
          <w:iCs w:val="1"/>
          <w:color w:val="auto"/>
        </w:rPr>
        <w:t xml:space="preserve">The Dallas Morning News’ </w:t>
      </w:r>
      <w:r>
        <w:rPr>
          <w:rFonts w:ascii="Times New Roman" w:cs="Times New Roman" w:eastAsia="Times New Roman" w:hAnsi="Times New Roman"/>
          <w:sz w:val="18"/>
          <w:szCs w:val="18"/>
          <w:color w:val="auto"/>
        </w:rPr>
        <w:t>first edition was published on October 1, 1885.</w:t>
      </w:r>
      <w:r>
        <w:rPr>
          <w:rFonts w:ascii="Times New Roman" w:cs="Times New Roman" w:eastAsia="Times New Roman" w:hAnsi="Times New Roman"/>
          <w:sz w:val="18"/>
          <w:szCs w:val="18"/>
          <w:i w:val="1"/>
          <w:iCs w:val="1"/>
          <w:color w:val="auto"/>
        </w:rPr>
        <w:t xml:space="preserve"> The News </w:t>
      </w:r>
      <w:r>
        <w:rPr>
          <w:rFonts w:ascii="Times New Roman" w:cs="Times New Roman" w:eastAsia="Times New Roman" w:hAnsi="Times New Roman"/>
          <w:sz w:val="18"/>
          <w:szCs w:val="18"/>
          <w:color w:val="auto"/>
        </w:rPr>
        <w:t>is one of the leading metropolitan newspapers in the United States.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newspaper is distributed primarily in Dallas County and six surrounding counties. This coverage area represents one of the most populous and fastest growing metropolitan areas in the country. </w:t>
      </w:r>
      <w:r>
        <w:rPr>
          <w:rFonts w:ascii="Times New Roman" w:cs="Times New Roman" w:eastAsia="Times New Roman" w:hAnsi="Times New Roman"/>
          <w:sz w:val="18"/>
          <w:szCs w:val="18"/>
          <w:i w:val="1"/>
          <w:iCs w:val="1"/>
          <w:color w:val="auto"/>
        </w:rPr>
        <w:t>The News</w:t>
      </w:r>
      <w:r>
        <w:rPr>
          <w:rFonts w:ascii="Times New Roman" w:cs="Times New Roman" w:eastAsia="Times New Roman" w:hAnsi="Times New Roman"/>
          <w:sz w:val="18"/>
          <w:szCs w:val="18"/>
          <w:color w:val="auto"/>
        </w:rPr>
        <w:t xml:space="preserve"> has been awarded nine Pulitzer Prizes for news reporting, editorial writing and photography. </w:t>
      </w:r>
      <w:r>
        <w:rPr>
          <w:rFonts w:ascii="Times New Roman" w:cs="Times New Roman" w:eastAsia="Times New Roman" w:hAnsi="Times New Roman"/>
          <w:sz w:val="18"/>
          <w:szCs w:val="18"/>
          <w:i w:val="1"/>
          <w:iCs w:val="1"/>
          <w:color w:val="auto"/>
        </w:rPr>
        <w:t>The Ne</w:t>
      </w:r>
      <w:r>
        <w:rPr>
          <w:rFonts w:ascii="Times New Roman" w:cs="Times New Roman" w:eastAsia="Times New Roman" w:hAnsi="Times New Roman"/>
          <w:sz w:val="18"/>
          <w:szCs w:val="18"/>
          <w:color w:val="auto"/>
        </w:rPr>
        <w:t xml:space="preserve">ws also has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Dia</w:t>
      </w:r>
      <w:r>
        <w:rPr>
          <w:rFonts w:ascii="Times New Roman" w:cs="Times New Roman" w:eastAsia="Times New Roman" w:hAnsi="Times New Roman"/>
          <w:sz w:val="18"/>
          <w:szCs w:val="18"/>
          <w:color w:val="auto"/>
        </w:rPr>
        <w:t>, an award-winning Spanish-language digital-only product that publishes online daily, as news develops, and in a weekly ePaper edition available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Unless otherwise noted, the financial and operating results of all products are reported as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jc w:val="right"/>
        <w:spacing w:after="0"/>
        <w:tabs>
          <w:tab w:leader="none" w:pos="5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5"/>
          <w:szCs w:val="15"/>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4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222222"/>
        </w:rPr>
        <w:t>Businesses producing and providing services within the print and newspaper industry have encountered significant declines in revenue as a result of increasing use of the internet for delivery of information. These businesses have been challenged to find alternative solutions to offset the loss of revenue. The majority of revenues within the newspaper industry were historically generated from display and classified advertisements followed by revenues from subscriptions and retail sales of newspaper. Revenues from subscriptions and retail sales of newspapers have experienced greater resilience as readers have been willing to pay higher prices for the product, which has substantially offset lower circulation volumes. The Company has faced ongoing revenue declines primarily in print advertising and expects these trends to continue. P</w:t>
      </w:r>
      <w:r>
        <w:rPr>
          <w:rFonts w:ascii="Times New Roman" w:cs="Times New Roman" w:eastAsia="Times New Roman" w:hAnsi="Times New Roman"/>
          <w:sz w:val="18"/>
          <w:szCs w:val="18"/>
          <w:color w:val="000000"/>
        </w:rPr>
        <w:t>reprint advertising continues to experience a much greater secular decline across the industry and may</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eventually become obsolete</w:t>
      </w:r>
      <w:r>
        <w:rPr>
          <w:rFonts w:ascii="Times New Roman" w:cs="Times New Roman" w:eastAsia="Times New Roman" w:hAnsi="Times New Roman"/>
          <w:sz w:val="18"/>
          <w:szCs w:val="18"/>
          <w:color w:val="222222"/>
        </w:rPr>
        <w:t>. As a result the Company is moving to a more digital news format to offset some of its declines in print, specifically around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advertising.</w:t>
      </w:r>
    </w:p>
    <w:p>
      <w:pPr>
        <w:spacing w:after="0" w:line="15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addition to traditional print and digital advertising, the Company has a full-service agency, Medium Giant, with capabilities including strategy, creative and media management with a focus on strategic and digital marketing, and data intelligence that provide a measurable return on investment to its clients. Through the full-service capabilities, the Company is able to offer businesses comprehensive, strategic and creative marketing solutions which allow our clients to connect with their business, their brand and their audiences to drive growth.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the Company’s various revenue streams.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Advertising and Marketing Services Revenue </w:t>
      </w:r>
      <w:r>
        <w:rPr>
          <w:rFonts w:ascii="Times New Roman" w:cs="Times New Roman" w:eastAsia="Times New Roman" w:hAnsi="Times New Roman"/>
          <w:sz w:val="18"/>
          <w:szCs w:val="18"/>
          <w:color w:val="auto"/>
        </w:rPr>
        <w:t>- Advertising and marketing services revenue accounted for approximately 42 percent of total revenue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w:t>
      </w:r>
    </w:p>
    <w:p>
      <w:pPr>
        <w:spacing w:after="0" w:line="13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 has a comprehensive portfolio of print advertising products, which includes display and classified advertising. Display revenue results from sales of advertising space within the Company’s core newspaper to local, regional or national businesses with local operations, affiliates or resellers. Classified revenue, which includes automotive, real estate, employment, obituaries and other, results from sales of advertising space in the classified and other sections of the Company’s newspaper.</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Company’s digital advertising and marketing services revenue consists of strategic marketing services, consulting, branding, paid media strategy and management, creative services, search optimization, direct mail, the sale of promotional materials, and subscriptions to the Company’s multi-channel marketing solutions cloud-based software and services. In addition, it includes digital sales of banner, classified and native advertisements on the Company’s news websites, social media platforms and mobile apps, as well as targeted and multi-channel (programmatic) advertising placed on third-party platforms.</w:t>
      </w:r>
    </w:p>
    <w:p>
      <w:pPr>
        <w:spacing w:after="0" w:line="14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color w:val="auto"/>
        </w:rPr>
        <w:t xml:space="preserve">Circulation Revenue </w:t>
      </w:r>
      <w:r>
        <w:rPr>
          <w:rFonts w:ascii="Times New Roman" w:cs="Times New Roman" w:eastAsia="Times New Roman" w:hAnsi="Times New Roman"/>
          <w:sz w:val="18"/>
          <w:szCs w:val="18"/>
          <w:color w:val="auto"/>
        </w:rPr>
        <w:t>- Circulation revenue accounted for approximately 47 percent of total revenue for 2023 and includes subscriptions and single copy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the Company’s core newspaper in print and digital formats. DallasNews’ steadfast commitment to producing superior, unduplicated local journalism enables the Company’s newspaper to charge premium subscription rates</w:t>
      </w:r>
      <w:r>
        <w:rPr>
          <w:rFonts w:ascii="Times New Roman" w:cs="Times New Roman" w:eastAsia="Times New Roman" w:hAnsi="Times New Roman"/>
          <w:sz w:val="18"/>
          <w:szCs w:val="18"/>
          <w:i w:val="1"/>
          <w:iCs w:val="1"/>
          <w:color w:val="auto"/>
        </w:rPr>
        <w:t>. The Dallas Morning News’</w:t>
      </w:r>
      <w:r>
        <w:rPr>
          <w:rFonts w:ascii="Times New Roman" w:cs="Times New Roman" w:eastAsia="Times New Roman" w:hAnsi="Times New Roman"/>
          <w:sz w:val="18"/>
          <w:szCs w:val="18"/>
          <w:color w:val="auto"/>
        </w:rPr>
        <w:t xml:space="preserve"> goal is to maximize the amount of recurring revenue from consumers of the Company’s print and digital products. The Company continuously assesses the journalism provided to subscribers and their willingness and ability to pay higher rates by geographic area. The Company has implemented effective rate increases to select subscribers or retailers. A digital replica version of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is offered for subscribers to purchase if they prefer to consume news through a digital device in a more traditional format. DallasNews’ and the newspaper industry as a whole, are challenged to maintain and grow print circulation volume. To the extent circulation volume declines cannot be offset by rate increases, the Company will realize lower circulation revenue. Circulation volume declines could also result in lower rates and volumes for advertising revenue.</w:t>
      </w:r>
    </w:p>
    <w:p>
      <w:pPr>
        <w:spacing w:after="0" w:line="14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The Company’s news websites, including </w:t>
      </w:r>
      <w:r>
        <w:rPr>
          <w:rFonts w:ascii="Times New Roman" w:cs="Times New Roman" w:eastAsia="Times New Roman" w:hAnsi="Times New Roman"/>
          <w:sz w:val="18"/>
          <w:szCs w:val="18"/>
          <w:i w:val="1"/>
          <w:iCs w:val="1"/>
          <w:u w:val="single" w:color="auto"/>
          <w:color w:val="auto"/>
        </w:rPr>
        <w:t>dallasnews.com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auto"/>
        </w:rPr>
        <w:t>aldiadallas.com</w:t>
      </w:r>
      <w:r>
        <w:rPr>
          <w:rFonts w:ascii="Times New Roman" w:cs="Times New Roman" w:eastAsia="Times New Roman" w:hAnsi="Times New Roman"/>
          <w:sz w:val="18"/>
          <w:szCs w:val="18"/>
          <w:color w:val="auto"/>
        </w:rPr>
        <w:t xml:space="preserve">, are the leading English and Spanish news and social media platforms in the North Texas region. </w:t>
      </w:r>
      <w:r>
        <w:rPr>
          <w:rFonts w:ascii="Times New Roman" w:cs="Times New Roman" w:eastAsia="Times New Roman" w:hAnsi="Times New Roman"/>
          <w:sz w:val="18"/>
          <w:szCs w:val="18"/>
          <w:i w:val="1"/>
          <w:iCs w:val="1"/>
          <w:color w:val="auto"/>
        </w:rPr>
        <w:t>The News’</w:t>
      </w:r>
      <w:r>
        <w:rPr>
          <w:rFonts w:ascii="Times New Roman" w:cs="Times New Roman" w:eastAsia="Times New Roman" w:hAnsi="Times New Roman"/>
          <w:sz w:val="18"/>
          <w:szCs w:val="18"/>
          <w:color w:val="auto"/>
        </w:rPr>
        <w:t xml:space="preserve"> websites offer late-breaking and other up-to-date news coverage, user-generated content, advertising, e-commerce and other services. Readers can access news content across multiple digital platforms and obtain relevant local customized content and advertising. The Company’s journalists have expanded their reach and deepened their engagement with audiences by delivering news and content through social media platforms such as newsletters, blogs, Facebook and X, formerly known as Twitter, which direct traffic to the core websites. The Company’s success depends to a significant extent on its ability to develop and manage the digital business in response to the changes in consumers’ preferences and behaviors, as well as changes to advertising expenditures, as described above.</w:t>
      </w:r>
    </w:p>
    <w:p>
      <w:pPr>
        <w:spacing w:after="0" w:line="15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Printing, Distribution and Other Revenue - </w:t>
      </w:r>
      <w:r>
        <w:rPr>
          <w:rFonts w:ascii="Times New Roman" w:cs="Times New Roman" w:eastAsia="Times New Roman" w:hAnsi="Times New Roman"/>
          <w:sz w:val="18"/>
          <w:szCs w:val="18"/>
          <w:color w:val="auto"/>
        </w:rPr>
        <w:t>Printing, distribution and other revenue accounted for approximately 11 percent of total revenue for 2023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commercial printing, distribution and shared mail packaging services. The Company’s commercial printing and distribution services leverage the capacity of its production and distribution assets. The Company believes the incremental revenue from these services allows a greater return from the Company’s operating assets.</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Commercial printing and delivery services are provided for certain national newspapers. A shared mail packaging business is operated in Tempe, Arizona, providing mailed advertisements for business customers.</w:t>
      </w:r>
    </w:p>
    <w:p>
      <w:pPr>
        <w:spacing w:after="0" w:line="200" w:lineRule="exact"/>
        <w:rPr>
          <w:sz w:val="20"/>
          <w:szCs w:val="20"/>
          <w:color w:val="auto"/>
        </w:rPr>
      </w:pPr>
    </w:p>
    <w:p>
      <w:pPr>
        <w:spacing w:after="0" w:line="254" w:lineRule="exact"/>
        <w:rPr>
          <w:sz w:val="20"/>
          <w:szCs w:val="20"/>
          <w:color w:val="auto"/>
        </w:rPr>
      </w:pPr>
    </w:p>
    <w:p>
      <w:pPr>
        <w:jc w:val="right"/>
        <w:spacing w:after="0"/>
        <w:tabs>
          <w:tab w:leader="none" w:pos="5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5"/>
          <w:szCs w:val="15"/>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Raw Materials and Distribution</w:t>
      </w:r>
    </w:p>
    <w:p>
      <w:pPr>
        <w:spacing w:after="0" w:line="17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basic material used in publishing newspapers is newsprint. The Company has a Paper Supply Agreement, expiring in August 2025, with Gannett Supply Corporation (“Gannett”), a newsprint broker, which will be the Company’s sole supplier of newsprint from designated newsprint suppliers at market-based prices during the term of the agreement, except in certain specified instances. The agreement is renewable for successive one-year terms upon mutual agreement of the parties, and is terminable by either party on 180 days prior written notice. This agreement allows the Company access to multiple mills at competitive pricing. Management believes the Gannett agreement provides adequate sources of newsprint to meet the Company’s current needs. Significant increases in newsprint costs or the Company’s inability to obtain an adequate supply of newsprint in the future could adversely affect its financial condition and results of operations.</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During 2023, Company operations consumed 6,658 metric tons of newsprint at an average cost of $779 per metric ton. Consumption of newsprint in 2022 was 7,735 metric tons at an average cost of $728 per metric ton.</w:t>
      </w:r>
    </w:p>
    <w:p>
      <w:pPr>
        <w:spacing w:after="0" w:line="15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Company’s newspaper and other commercial print products are produced at its facility in Plano, Texas. Distribution of printed products to subscribers, retailers and newsstands is made under terms of agreements with third-party distributors. The Company believes a sufficient number of third-party distributors exist to allow uninterrupted distribution of the Company’s products. However, there are challenges with third-party distributors being able to retain carriers to deliver the newspaper. In addition, if third-party service providers face financial difficulties or terminate their relationship with the Company, this could adversely affect the Company’s ability to satisfy its customers or operate the business, and could affect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Competitive Strengths and Challenges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strengths include: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largest news-gathering operation in North Texas</w:t>
      </w:r>
    </w:p>
    <w:p>
      <w:pPr>
        <w:spacing w:after="0" w:line="177" w:lineRule="exact"/>
        <w:rPr>
          <w:sz w:val="20"/>
          <w:szCs w:val="20"/>
          <w:color w:val="auto"/>
        </w:rPr>
      </w:pPr>
    </w:p>
    <w:p>
      <w:pPr>
        <w:ind w:left="640"/>
        <w:spacing w:after="0" w:line="258" w:lineRule="auto"/>
        <w:rPr>
          <w:sz w:val="20"/>
          <w:szCs w:val="20"/>
          <w:color w:val="auto"/>
        </w:rPr>
      </w:pPr>
      <w:r>
        <w:rPr>
          <w:rFonts w:ascii="Times New Roman" w:cs="Times New Roman" w:eastAsia="Times New Roman" w:hAnsi="Times New Roman"/>
          <w:sz w:val="18"/>
          <w:szCs w:val="18"/>
          <w:color w:val="auto"/>
        </w:rPr>
        <w:t>the opportunity to build valuable first-party data sets about consumers in North Texas due to the millions of unique visitors who come to the Company’s websites monthly</w:t>
      </w:r>
    </w:p>
    <w:p>
      <w:pPr>
        <w:spacing w:after="0" w:line="124" w:lineRule="exact"/>
        <w:rPr>
          <w:sz w:val="20"/>
          <w:szCs w:val="20"/>
          <w:color w:val="auto"/>
        </w:rPr>
      </w:pPr>
    </w:p>
    <w:p>
      <w:pPr>
        <w:ind w:left="640"/>
        <w:spacing w:after="0" w:line="258" w:lineRule="auto"/>
        <w:rPr>
          <w:sz w:val="20"/>
          <w:szCs w:val="20"/>
          <w:color w:val="auto"/>
        </w:rPr>
      </w:pPr>
      <w:r>
        <w:rPr>
          <w:rFonts w:ascii="Times New Roman" w:cs="Times New Roman" w:eastAsia="Times New Roman" w:hAnsi="Times New Roman"/>
          <w:sz w:val="18"/>
          <w:szCs w:val="18"/>
          <w:color w:val="auto"/>
        </w:rPr>
        <w:t>the ability to develop innovative new product and service offerings which leverage the Company’s brand equity, existing content, distribution platforms, technologies and relationships</w:t>
      </w:r>
    </w:p>
    <w:p>
      <w:pPr>
        <w:spacing w:after="0" w:line="124" w:lineRule="exact"/>
        <w:rPr>
          <w:sz w:val="20"/>
          <w:szCs w:val="20"/>
          <w:color w:val="auto"/>
        </w:rPr>
      </w:pPr>
    </w:p>
    <w:p>
      <w:pPr>
        <w:ind w:left="640"/>
        <w:spacing w:after="0" w:line="258" w:lineRule="auto"/>
        <w:rPr>
          <w:sz w:val="20"/>
          <w:szCs w:val="20"/>
          <w:color w:val="auto"/>
        </w:rPr>
      </w:pPr>
      <w:r>
        <w:rPr>
          <w:rFonts w:ascii="Times New Roman" w:cs="Times New Roman" w:eastAsia="Times New Roman" w:hAnsi="Times New Roman"/>
          <w:sz w:val="18"/>
          <w:szCs w:val="18"/>
          <w:color w:val="auto"/>
        </w:rPr>
        <w:t>the ability to provide clients with full-service agency capabilities including strategy, creative, website development, and media management which allow our clients to connect with their business, their brand and their audiences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sufficient liquidity to allow the Company to invest opportunistically in the Company’s business</w:t>
      </w:r>
    </w:p>
    <w:p>
      <w:pPr>
        <w:spacing w:after="0" w:line="177" w:lineRule="exact"/>
        <w:rPr>
          <w:sz w:val="20"/>
          <w:szCs w:val="20"/>
          <w:color w:val="auto"/>
        </w:rPr>
      </w:pPr>
    </w:p>
    <w:p>
      <w:pPr>
        <w:ind w:left="640" w:right="1980"/>
        <w:spacing w:after="0" w:line="437" w:lineRule="auto"/>
        <w:rPr>
          <w:sz w:val="20"/>
          <w:szCs w:val="20"/>
          <w:color w:val="auto"/>
        </w:rPr>
      </w:pPr>
      <w:r>
        <w:rPr>
          <w:rFonts w:ascii="Times New Roman" w:cs="Times New Roman" w:eastAsia="Times New Roman" w:hAnsi="Times New Roman"/>
          <w:sz w:val="18"/>
          <w:szCs w:val="18"/>
          <w:color w:val="auto"/>
        </w:rPr>
        <w:t>an affluent and educated demographic base in its market centered around one of the fastest growing regions in the country the ability to market print or digital products and services to large and targeted audiences at low marginal costs</w:t>
      </w:r>
    </w:p>
    <w:p>
      <w:pPr>
        <w:spacing w:after="0" w:line="1"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a large sales force with knowledge of the marketplaces in which the Company conducts its business, and relationships with current and potential print and digital advertising clients</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ability to manage operating costs effectively according to market pressures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challenges include: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decline in print advertising</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classified advertising, specifically related to legal notices and being subject to legislation</w:t>
      </w:r>
    </w:p>
    <w:p>
      <w:pPr>
        <w:spacing w:after="0" w:line="177"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effective monetization of locally-created online content on the Company’s websites while balancing the impact of potential lower traffic volumes with an established metered-based model</w:t>
      </w:r>
    </w:p>
    <w:p>
      <w:pPr>
        <w:spacing w:after="0" w:line="97"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operating in a competitive environment with increased competition from other media, particularly internet-based media provided to customers at no cost</w:t>
      </w:r>
    </w:p>
    <w:p>
      <w:pPr>
        <w:spacing w:after="0" w:line="97"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timely growth of revenue and profits related to the Company’s agency, digital services and digital subscriptions businesses that would provide for an offset to declines in revenue and profits related to the Company’s print advertising and print circulation</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operating in a competitive agency market with competition from large established agencies and in-house marketing</w:t>
      </w:r>
    </w:p>
    <w:p>
      <w:pPr>
        <w:spacing w:after="0" w:line="136" w:lineRule="exact"/>
        <w:rPr>
          <w:sz w:val="20"/>
          <w:szCs w:val="20"/>
          <w:color w:val="auto"/>
        </w:rPr>
      </w:pPr>
    </w:p>
    <w:p>
      <w:pPr>
        <w:jc w:val="right"/>
        <w:spacing w:after="0"/>
        <w:tabs>
          <w:tab w:leader="none" w:pos="5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5"/>
          <w:szCs w:val="15"/>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4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response to the decline in print revenue, the Company built agency and digital advertising capabilities through multiple media channels. The Company leverages its news content to improve engagement on the Company’s digital platforms that results in increased digital subscriptions and associated revenue. The Company also continues to diversify its revenue base by leveraging the available capacity of its existing assets to provide print and distribution services for newspapers and other customers requiring these services, by introducing new advertising and marketing services products, and by increasing circulation prices.</w:t>
      </w:r>
    </w:p>
    <w:p>
      <w:pPr>
        <w:spacing w:after="0" w:line="15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Because of declining print circulation, the Company has developed broad digital strategies designed to provide readers with multiple platforms for obtaining online access to local news. The Company continues to obtain additional key demographic data from readers, which allows the Company to provide content desired by readers and to modify marketing and distribution strategies to target and reach audiences valued by advertisers. The Company has access to programmatic digital advertising platforms that provide digital ad placement and targeting efficiencies and increases utilization of digital inventory within the Company’s websites. Additionally, in order to optimize owned and operated digital advertising revenue, the Company has adopted a holistic yield management approach powered by real-time bidding technologies and data analysis to ensure the optimal mix of direct sales and programmatic ad sales is achieved.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Strategy</w:t>
      </w:r>
    </w:p>
    <w:p>
      <w:pPr>
        <w:spacing w:after="0" w:line="16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DallasNews is committed to producing quality journalism for its communities and providing innovative digital marketing solutions for its customers through its agency capabilities, while creating value for shareholders over the long-term. The Company continuously evaluates its operations and investments against various economic factors to determine the appropriate current strategies.</w:t>
      </w:r>
    </w:p>
    <w:p>
      <w:pPr>
        <w:spacing w:after="0" w:line="15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The Company is committed to maintaining the leading digital and print platforms for delivering news of the highest quality and reliability in the North Texas area, as well as creating and developing innovative print and digital marketing services capabilities that address the needs of clients and advertisers.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seeks to achieve these objectives through the following strategies:</w:t>
      </w:r>
    </w:p>
    <w:p>
      <w:pPr>
        <w:spacing w:after="0" w:line="164" w:lineRule="exact"/>
        <w:rPr>
          <w:sz w:val="20"/>
          <w:szCs w:val="20"/>
          <w:color w:val="auto"/>
        </w:rPr>
      </w:pPr>
    </w:p>
    <w:p>
      <w:pPr>
        <w:ind w:left="640"/>
        <w:spacing w:after="0" w:line="258" w:lineRule="auto"/>
        <w:rPr>
          <w:sz w:val="20"/>
          <w:szCs w:val="20"/>
          <w:color w:val="auto"/>
        </w:rPr>
      </w:pPr>
      <w:r>
        <w:rPr>
          <w:rFonts w:ascii="Times New Roman" w:cs="Times New Roman" w:eastAsia="Times New Roman" w:hAnsi="Times New Roman"/>
          <w:sz w:val="18"/>
          <w:szCs w:val="18"/>
          <w:color w:val="auto"/>
        </w:rPr>
        <w:t>produce quality local journalism at scale, distributed through digital platforms that improve user engagement and result in increased digital subscriptions and customer retention</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develop new ways to grow advertising dollars on the Company’s digital platforms</w:t>
      </w:r>
    </w:p>
    <w:p>
      <w:pPr>
        <w:spacing w:after="0" w:line="177" w:lineRule="exact"/>
        <w:rPr>
          <w:sz w:val="20"/>
          <w:szCs w:val="20"/>
          <w:color w:val="auto"/>
        </w:rPr>
      </w:pPr>
    </w:p>
    <w:p>
      <w:pPr>
        <w:ind w:left="640" w:right="500"/>
        <w:spacing w:after="0" w:line="463" w:lineRule="auto"/>
        <w:rPr>
          <w:sz w:val="20"/>
          <w:szCs w:val="20"/>
          <w:color w:val="auto"/>
        </w:rPr>
      </w:pPr>
      <w:r>
        <w:rPr>
          <w:rFonts w:ascii="Times New Roman" w:cs="Times New Roman" w:eastAsia="Times New Roman" w:hAnsi="Times New Roman"/>
          <w:sz w:val="17"/>
          <w:szCs w:val="17"/>
          <w:color w:val="auto"/>
        </w:rPr>
        <w:t>grow recurring advertising and digital marketing services revenue through a client-first approach and enhanced full-service agency capabilities improve print revenues and increase utilization of operating assets by maintaining profitable print and distribution services to third parties</w:t>
      </w:r>
    </w:p>
    <w:p>
      <w:pPr>
        <w:spacing w:after="0" w:line="1" w:lineRule="exact"/>
        <w:rPr>
          <w:sz w:val="20"/>
          <w:szCs w:val="20"/>
          <w:color w:val="auto"/>
        </w:rPr>
      </w:pPr>
    </w:p>
    <w:p>
      <w:pPr>
        <w:ind w:left="640"/>
        <w:spacing w:after="0" w:line="258" w:lineRule="auto"/>
        <w:rPr>
          <w:sz w:val="20"/>
          <w:szCs w:val="20"/>
          <w:color w:val="auto"/>
        </w:rPr>
      </w:pPr>
      <w:r>
        <w:rPr>
          <w:rFonts w:ascii="Times New Roman" w:cs="Times New Roman" w:eastAsia="Times New Roman" w:hAnsi="Times New Roman"/>
          <w:sz w:val="18"/>
          <w:szCs w:val="18"/>
          <w:color w:val="auto"/>
        </w:rPr>
        <w:t>continue to align costs with revenue, maintain strong liquidity to support future business and product initiatives, and provide flexibility to meet strategic investment opportunities and other cash flow requirements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17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DallasNews’ newspaper and related websites primarily serve audiences in the North Texas area. The Company competes for advertising revenue for its newspaper and websites with other print and agency companies. Advertising revenues for the Company’s newspaper and websites are responsive to circulation and traffic volumes, demographics of their subscriber bases, advertising results, rates and customer service. Advertising on digital platforms is highly competitive and largely dominated by large internet companies. As advertisers reallocate marketing expenditures from print to digital channels, the Company believes its strong local brand and its full-service agency, Medium Giant, has capabilities that will allow it to offer exclusive advertising and digital marketing solutions to local businesses on a competitive scale, but still face competition from large established agencies and in-house marketing.</w:t>
      </w:r>
    </w:p>
    <w:p>
      <w:pPr>
        <w:spacing w:after="0" w:line="15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i w:val="1"/>
          <w:iCs w:val="1"/>
          <w:color w:val="auto"/>
        </w:rPr>
        <w:t xml:space="preserve">The Dallas Morning News </w:t>
      </w:r>
      <w:r>
        <w:rPr>
          <w:rFonts w:ascii="Times New Roman" w:cs="Times New Roman" w:eastAsia="Times New Roman" w:hAnsi="Times New Roman"/>
          <w:sz w:val="18"/>
          <w:szCs w:val="18"/>
          <w:color w:val="auto"/>
        </w:rPr>
        <w:t>has the highest paid print circulation in the North Texas area while competing with one other metropolitan newspaper in parts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 market. Circulation revenues are challenged primarily due to free and readily-accessible news, entertainment, advertising and other content available through the internet. This secular shift from print to digital media continues as consumer lifestyles embrace technological advancements, particularly with mobile devices, which provide access to a wide variety of digital news and advertising alternatives, including news websites and social media platforms, online advertising networks and exchanges, online classified services, and direct email advertising. Competition for readers is primarily based on mode of delivery, quality of the Company’s journalism, price, timeliness of interaction with audiences, and customer service. News and other digital content produced by the Company’s newspaper are available via its websites, mobile applications and through email. The Company offers competitive technology for accessing digital content on mobile devices and via personal computers. Journalists engage online readers through newsletters, blogs, X, formerly known as Twitter, and other social media posts.</w:t>
      </w:r>
    </w:p>
    <w:p>
      <w:pPr>
        <w:spacing w:after="0" w:line="273" w:lineRule="exact"/>
        <w:rPr>
          <w:sz w:val="20"/>
          <w:szCs w:val="20"/>
          <w:color w:val="auto"/>
        </w:rPr>
      </w:pPr>
    </w:p>
    <w:p>
      <w:pPr>
        <w:jc w:val="right"/>
        <w:spacing w:after="0"/>
        <w:tabs>
          <w:tab w:leader="none" w:pos="5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5"/>
          <w:szCs w:val="15"/>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Seasonality</w:t>
      </w:r>
    </w:p>
    <w:p>
      <w:pPr>
        <w:spacing w:after="0" w:line="17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DallasNews’ advertising revenues are subject to moderate seasonality, with print and digital advertising revenue typically higher in the fourth calendar quarter of each year because of the holiday shopping season. The level of print and digital advertising sales in any period may also be affected by advertisers’ decisions to increase or decrease their advertising expenditures in response to anticipated consumer demand and general economic conditions.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Employees</w:t>
      </w:r>
    </w:p>
    <w:p>
      <w:pPr>
        <w:spacing w:after="0" w:line="16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of December 31, 2023, the Company had 601 employees of which approximately 20 percent are under a collective bargaining agreement that became effective on July 1, 2023. In the fourth quarter of 2023, the Company’s voluntary severance program closed, which resulted in 58 employees accepting the offer who will depart in 2024.</w:t>
      </w:r>
    </w:p>
    <w:p>
      <w:pPr>
        <w:spacing w:after="0" w:line="14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The Company considers its relationships with its employees to be very good and is committed to an equitable and inclusive workplace that reflects the diversity of its local readers and the communities it serves.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Available Information</w:t>
      </w:r>
    </w:p>
    <w:p>
      <w:pPr>
        <w:spacing w:after="0" w:line="16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DallasNews maintains its corporate website at </w:t>
      </w:r>
      <w:r>
        <w:rPr>
          <w:rFonts w:ascii="Times New Roman" w:cs="Times New Roman" w:eastAsia="Times New Roman" w:hAnsi="Times New Roman"/>
          <w:sz w:val="18"/>
          <w:szCs w:val="18"/>
          <w:i w:val="1"/>
          <w:iCs w:val="1"/>
          <w:color w:val="auto"/>
        </w:rPr>
        <w:t>dallasnewscorporation.com</w:t>
      </w:r>
      <w:r>
        <w:rPr>
          <w:rFonts w:ascii="Times New Roman" w:cs="Times New Roman" w:eastAsia="Times New Roman" w:hAnsi="Times New Roman"/>
          <w:sz w:val="18"/>
          <w:szCs w:val="18"/>
          <w:color w:val="auto"/>
        </w:rPr>
        <w:t>, which makes available, free of charge, this Annual Report on Form 10-K, its Quarterly Reports on Form 10-Q, its Current Reports on Form 8-K and amendments to those reports, as filed or furnished pursuant to Section 13(a) or 15(d) of the Securities Exchange Act of 1934 (the “Exchange Act”), as amended, as soon as reasonably practicable after the reports are electronically filed with or furnished to the Securities and Exchange Commission (the “SEC”).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Management and Strategy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Cybersecurity threats and computer crime pose a risk to the security of the Company’s information technology (“IT”) systems and those of third-party service providers with whom it does business, as well as the confidentiality, integrity and availability of the data stored on those systems. As part of our overall risk management framework, the Company has developed and maintains an information security program consisting of policies, procedures, systems, controls and technology designed to help prevent, identify, detect and mitigate cybersecurity risks.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Prevention, Identification, Detection and Mitigation Processes</w:t>
      </w:r>
    </w:p>
    <w:p>
      <w:pPr>
        <w:spacing w:after="0" w:line="1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Effective assessment, identification and management of material risks from cybersecurity threats involve a comprehensive and proactive approach. The Company’s key processes include, but are not limited to, the following:</w:t>
      </w:r>
    </w:p>
    <w:p>
      <w:pPr>
        <w:spacing w:after="0" w:line="71" w:lineRule="exact"/>
        <w:rPr>
          <w:sz w:val="20"/>
          <w:szCs w:val="20"/>
          <w:color w:val="auto"/>
        </w:rPr>
      </w:pPr>
    </w:p>
    <w:p>
      <w:pPr>
        <w:ind w:left="640"/>
        <w:spacing w:after="0" w:line="244" w:lineRule="auto"/>
        <w:rPr>
          <w:sz w:val="20"/>
          <w:szCs w:val="20"/>
          <w:color w:val="auto"/>
        </w:rPr>
      </w:pPr>
      <w:r>
        <w:rPr>
          <w:rFonts w:ascii="Times New Roman" w:cs="Times New Roman" w:eastAsia="Times New Roman" w:hAnsi="Times New Roman"/>
          <w:sz w:val="18"/>
          <w:szCs w:val="18"/>
          <w:color w:val="auto"/>
        </w:rPr>
        <w:t>Cybersecurity Policies and Procedures: The Company’s IT department has developed and implemented cybersecurity policies and procedures designed to align with industry best practices, such as the National Institute of Standards and Technology Cybersecurity Framework, and applicable regulatory requirements.</w:t>
      </w:r>
    </w:p>
    <w:p>
      <w:pPr>
        <w:spacing w:after="0" w:line="57" w:lineRule="exact"/>
        <w:rPr>
          <w:sz w:val="20"/>
          <w:szCs w:val="20"/>
          <w:color w:val="auto"/>
        </w:rPr>
      </w:pPr>
    </w:p>
    <w:p>
      <w:pPr>
        <w:ind w:left="640"/>
        <w:spacing w:after="0" w:line="244" w:lineRule="auto"/>
        <w:rPr>
          <w:sz w:val="20"/>
          <w:szCs w:val="20"/>
          <w:color w:val="auto"/>
        </w:rPr>
      </w:pPr>
      <w:r>
        <w:rPr>
          <w:rFonts w:ascii="Times New Roman" w:cs="Times New Roman" w:eastAsia="Times New Roman" w:hAnsi="Times New Roman"/>
          <w:sz w:val="18"/>
          <w:szCs w:val="18"/>
          <w:color w:val="auto"/>
        </w:rPr>
        <w:t>Incident Response Plan: The Company has developed and maintains an incident response plan that outlines the steps to be taken in the event of a cybersecurity incident. Annual testing is conducted to determine the effectiveness of the incident response plan, and maintenance of backup and protective systems is performed as needed.</w:t>
      </w:r>
    </w:p>
    <w:p>
      <w:pPr>
        <w:spacing w:after="0" w:line="57" w:lineRule="exact"/>
        <w:rPr>
          <w:sz w:val="20"/>
          <w:szCs w:val="20"/>
          <w:color w:val="auto"/>
        </w:rPr>
      </w:pPr>
    </w:p>
    <w:p>
      <w:pPr>
        <w:ind w:left="640"/>
        <w:spacing w:after="0" w:line="244" w:lineRule="auto"/>
        <w:rPr>
          <w:sz w:val="20"/>
          <w:szCs w:val="20"/>
          <w:color w:val="auto"/>
        </w:rPr>
      </w:pPr>
      <w:r>
        <w:rPr>
          <w:rFonts w:ascii="Times New Roman" w:cs="Times New Roman" w:eastAsia="Times New Roman" w:hAnsi="Times New Roman"/>
          <w:sz w:val="18"/>
          <w:szCs w:val="18"/>
          <w:color w:val="auto"/>
        </w:rPr>
        <w:t>Employee Training and Awareness: Mandatory ongoing cybersecurity training is provided to all employees to educate them about potential cybersecurity risks. Management fosters a culture of cybersecurity awareness and encourages employees to be proactive in identifying and reporting security issues.</w:t>
      </w:r>
    </w:p>
    <w:p>
      <w:pPr>
        <w:spacing w:after="0" w:line="57" w:lineRule="exact"/>
        <w:rPr>
          <w:sz w:val="20"/>
          <w:szCs w:val="20"/>
          <w:color w:val="auto"/>
        </w:rPr>
      </w:pPr>
    </w:p>
    <w:p>
      <w:pPr>
        <w:ind w:left="640"/>
        <w:spacing w:after="0" w:line="304" w:lineRule="auto"/>
        <w:rPr>
          <w:sz w:val="20"/>
          <w:szCs w:val="20"/>
          <w:color w:val="auto"/>
        </w:rPr>
      </w:pPr>
      <w:r>
        <w:rPr>
          <w:rFonts w:ascii="Times New Roman" w:cs="Times New Roman" w:eastAsia="Times New Roman" w:hAnsi="Times New Roman"/>
          <w:sz w:val="17"/>
          <w:szCs w:val="17"/>
          <w:color w:val="auto"/>
        </w:rPr>
        <w:t>Access Control and Authentication: The IT department maintains strong access controls and multi-factor authentication to ensure that only authorized personnel have access to sensitive systems and data. This access is regularly reviewed and updated as needed based on job roles and responsibilities.</w:t>
      </w:r>
    </w:p>
    <w:p>
      <w:pPr>
        <w:spacing w:after="0" w:line="200" w:lineRule="exact"/>
        <w:rPr>
          <w:sz w:val="20"/>
          <w:szCs w:val="20"/>
          <w:color w:val="auto"/>
        </w:rPr>
      </w:pPr>
    </w:p>
    <w:p>
      <w:pPr>
        <w:spacing w:after="0" w:line="217" w:lineRule="exact"/>
        <w:rPr>
          <w:sz w:val="20"/>
          <w:szCs w:val="20"/>
          <w:color w:val="auto"/>
        </w:rPr>
      </w:pPr>
    </w:p>
    <w:p>
      <w:pPr>
        <w:jc w:val="right"/>
        <w:spacing w:after="0"/>
        <w:tabs>
          <w:tab w:leader="none" w:pos="5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5"/>
          <w:szCs w:val="15"/>
          <w:b w:val="1"/>
          <w:b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40"/>
        <w:spacing w:after="0" w:line="244" w:lineRule="auto"/>
        <w:rPr>
          <w:sz w:val="20"/>
          <w:szCs w:val="20"/>
          <w:color w:val="auto"/>
        </w:rPr>
      </w:pPr>
      <w:r>
        <w:rPr>
          <w:rFonts w:ascii="Times New Roman" w:cs="Times New Roman" w:eastAsia="Times New Roman" w:hAnsi="Times New Roman"/>
          <w:sz w:val="18"/>
          <w:szCs w:val="18"/>
          <w:color w:val="auto"/>
        </w:rPr>
        <w:t>Security Control: The IT department has implemented and continually monitors security controls, including firewalls, end-point detection and response, intrusion detection/prevention systems, file integrity monitoring and data encryption, to protect against cybersecurity threats. These tools and controls are regularly updated to address vulnerabilities and ensure the security of information technology infrastructure.</w:t>
      </w:r>
    </w:p>
    <w:p>
      <w:pPr>
        <w:spacing w:after="0" w:line="57"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Reviews of IT Internal Controls: Reviews are performed by the Company’s internal audit team to assess the effectiveness of IT internal controls and compliance with regulatory policies and cybersecurity best practices, and any identified weaknesses are promptly addressed.</w:t>
      </w:r>
    </w:p>
    <w:p>
      <w:pPr>
        <w:spacing w:after="0" w:line="30"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Vulnerability Scans: Vulnerability scans are executed quarterly across the environment to proactively identify software weaknesses and vulnerabilities that could be exploited in a cybersecurity attack. Any identified vulnerabilities are promptly addressed.</w:t>
      </w:r>
    </w:p>
    <w:p>
      <w:pPr>
        <w:spacing w:after="0" w:line="30" w:lineRule="exact"/>
        <w:rPr>
          <w:sz w:val="20"/>
          <w:szCs w:val="20"/>
          <w:color w:val="auto"/>
        </w:rPr>
      </w:pPr>
    </w:p>
    <w:p>
      <w:pPr>
        <w:ind w:left="640"/>
        <w:spacing w:after="0" w:line="258" w:lineRule="auto"/>
        <w:rPr>
          <w:sz w:val="20"/>
          <w:szCs w:val="20"/>
          <w:color w:val="auto"/>
        </w:rPr>
      </w:pPr>
      <w:r>
        <w:rPr>
          <w:rFonts w:ascii="Times New Roman" w:cs="Times New Roman" w:eastAsia="Times New Roman" w:hAnsi="Times New Roman"/>
          <w:sz w:val="18"/>
          <w:szCs w:val="18"/>
          <w:color w:val="auto"/>
        </w:rPr>
        <w:t>Encryption and Data Protection: Encryption methods are in place to protect certain sensitive data. There are also programs in place to monitor and secure the Company’s retained data.</w:t>
      </w:r>
    </w:p>
    <w:p>
      <w:pPr>
        <w:spacing w:after="0" w:line="58" w:lineRule="exact"/>
        <w:rPr>
          <w:sz w:val="20"/>
          <w:szCs w:val="20"/>
          <w:color w:val="auto"/>
        </w:rPr>
      </w:pPr>
    </w:p>
    <w:p>
      <w:pPr>
        <w:ind w:left="640"/>
        <w:spacing w:after="0" w:line="258" w:lineRule="auto"/>
        <w:rPr>
          <w:sz w:val="20"/>
          <w:szCs w:val="20"/>
          <w:color w:val="auto"/>
        </w:rPr>
      </w:pPr>
      <w:r>
        <w:rPr>
          <w:rFonts w:ascii="Times New Roman" w:cs="Times New Roman" w:eastAsia="Times New Roman" w:hAnsi="Times New Roman"/>
          <w:sz w:val="18"/>
          <w:szCs w:val="18"/>
          <w:color w:val="auto"/>
        </w:rPr>
        <w:t>Asset Inventory: The Company maintains an up-to-date inventory of all assets, including hardware, software, data and network infrastructure. Assets critical to the Company’s operations have been identified and prioritized accordingly.</w:t>
      </w:r>
    </w:p>
    <w:p>
      <w:pPr>
        <w:spacing w:after="0" w:line="45"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Continuous Monitoring: The IT department has implemented monitoring tools and processes to detect and respond to cybersecurity threats in real time.</w:t>
      </w:r>
    </w:p>
    <w:p>
      <w:pPr>
        <w:spacing w:after="0" w:line="12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 third-party security information and event management (“SIEM”) partner provides security monitoring and alerts twenty-four hours a day, seven days a week. The Company engages an independent Qualified Security Assessor organization to perform penetration testing in order to validate the Company’s Payment Card Industry (“PCI”) compliance and adherence to the PCI Data Security Standard. The Company also collaborates with outside legal counsel to ensure compliance with regulatory requirements</w:t>
      </w:r>
      <w:r>
        <w:rPr>
          <w:rFonts w:ascii="Times New Roman" w:cs="Times New Roman" w:eastAsia="Times New Roman" w:hAnsi="Times New Roman"/>
          <w:sz w:val="18"/>
          <w:szCs w:val="18"/>
          <w:b w:val="1"/>
          <w:bCs w:val="1"/>
          <w:color w:val="auto"/>
        </w:rPr>
        <w:t>.</w:t>
      </w:r>
    </w:p>
    <w:p>
      <w:pPr>
        <w:spacing w:after="0" w:line="15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The Company has implemented and continues to maintain its IT policies, standards, procedures, and controls to oversee, identify and manage cybersecurity risks associated </w:t>
      </w:r>
      <w:r>
        <w:rPr>
          <w:rFonts w:ascii="Times New Roman" w:cs="Times New Roman" w:eastAsia="Times New Roman" w:hAnsi="Times New Roman"/>
          <w:sz w:val="18"/>
          <w:szCs w:val="18"/>
          <w:color w:val="010101"/>
        </w:rPr>
        <w:t>with third-party service providers. These</w:t>
      </w:r>
      <w:r>
        <w:rPr>
          <w:rFonts w:ascii="Times New Roman" w:cs="Times New Roman" w:eastAsia="Times New Roman" w:hAnsi="Times New Roman"/>
          <w:sz w:val="18"/>
          <w:szCs w:val="18"/>
          <w:color w:val="auto"/>
        </w:rPr>
        <w:t xml:space="preserve"> include, but are not limited to, an IT </w:t>
      </w:r>
      <w:r>
        <w:rPr>
          <w:rFonts w:ascii="Times New Roman" w:cs="Times New Roman" w:eastAsia="Times New Roman" w:hAnsi="Times New Roman"/>
          <w:sz w:val="18"/>
          <w:szCs w:val="18"/>
          <w:color w:val="010101"/>
        </w:rPr>
        <w:t>acceptable use policy, a contractor/consultant work policy and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10101"/>
        </w:rPr>
        <w:t>vendor management policy.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Risks from Cybersecurity Threats</w:t>
      </w:r>
    </w:p>
    <w:p>
      <w:pPr>
        <w:spacing w:after="0" w:line="18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Company has experienced cybersecurity incidents in the ordinary course of business and will continue to experience risks from cybersecurity threats that could have a material adverse effect on its business strategy, results of operations, or financial condition. Although prior cybersecurity incidents have not had a material adverse effect on the Company’s business strategy, results of operations, or financial condition to date, any actual or perceived breach of its security could cause operational disruption and result in delays or inability to produce, print and deliver its publications and other third-party print publications, damage the Company’s reputation, cause the Company to lose existing customers, prevent the Company from attracting new customers, or subject the Company to third-party lawsuits, regulatory investigations and fines or other actions or liabilities, any of which could materially adversely affect the Company’s business strategy, results of operations, or financial condition. In addition, more resources may be needed for the security of the Company’s information technology systems in the future, which could increase the cost of doing business or otherwise materially adversely affect the Company’s business strategy, results of operations, or financial condition.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Governance</w:t>
      </w:r>
    </w:p>
    <w:p>
      <w:pPr>
        <w:spacing w:after="0" w:line="1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Both management and the Company’s board of directors are involved in the oversight of risks from cybersecurity threats. The Company’s information security program is designed to ensure that management and the board of directors are adequately informed about, and provided with the tools necessary to monitor, (i) material risks from cybersecurity threats and (ii) the Company’s efforts related to the prevention, detection, mitigation and remediation of cybersecurity incidents.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Board of Directors</w:t>
      </w:r>
    </w:p>
    <w:p>
      <w:pPr>
        <w:spacing w:after="0" w:line="168"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The board of directors has delegated to the Audit Committee oversight responsibility for the Company’s risk management, including cybersecurity. The Audit Committee receives an annual comprehensive report from the Company’s President and Chief Financial Officer (“CFO”) and Vice President (“VP”) of IT Operations and Strategy covering the Company’s cybersecurity posture, incidents, if any, and risk mitigation efforts, and receives ad hoc reporting of any material cybersecurity incidents.</w:t>
      </w:r>
    </w:p>
    <w:p>
      <w:pPr>
        <w:spacing w:after="0" w:line="200" w:lineRule="exact"/>
        <w:rPr>
          <w:sz w:val="20"/>
          <w:szCs w:val="20"/>
          <w:color w:val="auto"/>
        </w:rPr>
      </w:pPr>
    </w:p>
    <w:p>
      <w:pPr>
        <w:spacing w:after="0" w:line="256" w:lineRule="exact"/>
        <w:rPr>
          <w:sz w:val="20"/>
          <w:szCs w:val="20"/>
          <w:color w:val="auto"/>
        </w:rPr>
      </w:pPr>
    </w:p>
    <w:p>
      <w:pPr>
        <w:jc w:val="right"/>
        <w:spacing w:after="0"/>
        <w:tabs>
          <w:tab w:leader="none" w:pos="5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5"/>
          <w:szCs w:val="15"/>
          <w:b w:val="1"/>
          <w:b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Management</w:t>
      </w:r>
    </w:p>
    <w:p>
      <w:pPr>
        <w:spacing w:after="0" w:line="18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7"/>
          <w:szCs w:val="17"/>
          <w:color w:val="auto"/>
        </w:rPr>
        <w:t>Management plays a crucial role in assessing and managing material risks from cybersecurity threats. At the management level, the Company’s cybersecurity risk management and strategy is led by its VP of IT Operations and Strategy, who reports to the CFO. The qualifications of the VP of IT Operations and Strategy include 25 years of IT management, cybersecurity and information governance experience. The VP of IT Operations and Strategy is regularly informed about the latest developments in cybersecurity, including emerging threats and technologies to adapt security measures accordingly. This ongoing knowledge acquisition is crucial for the effective prevention, detection, mitigation and remediation of cybersecurity incidents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Management’s role includes:</w:t>
      </w:r>
    </w:p>
    <w:p>
      <w:pPr>
        <w:spacing w:after="0" w:line="58" w:lineRule="exact"/>
        <w:rPr>
          <w:sz w:val="20"/>
          <w:szCs w:val="20"/>
          <w:color w:val="auto"/>
        </w:rPr>
      </w:pPr>
    </w:p>
    <w:p>
      <w:pPr>
        <w:ind w:left="640"/>
        <w:spacing w:after="0" w:line="244" w:lineRule="auto"/>
        <w:rPr>
          <w:sz w:val="20"/>
          <w:szCs w:val="20"/>
          <w:color w:val="auto"/>
        </w:rPr>
      </w:pPr>
      <w:r>
        <w:rPr>
          <w:rFonts w:ascii="Times New Roman" w:cs="Times New Roman" w:eastAsia="Times New Roman" w:hAnsi="Times New Roman"/>
          <w:sz w:val="18"/>
          <w:szCs w:val="18"/>
          <w:color w:val="auto"/>
        </w:rPr>
        <w:t>Risk Assessment: Management conducts annual cybersecurity risk assessments to identify and evaluate potential threats and vulnerabilities. Management considers the likelihood and potential impact of various cybersecurity risks, considering the Company’s assets, systems and operations, in order to prioritize mitigation efforts.</w:t>
      </w:r>
    </w:p>
    <w:p>
      <w:pPr>
        <w:spacing w:after="0" w:line="57" w:lineRule="exact"/>
        <w:rPr>
          <w:sz w:val="20"/>
          <w:szCs w:val="20"/>
          <w:color w:val="auto"/>
        </w:rPr>
      </w:pPr>
    </w:p>
    <w:p>
      <w:pPr>
        <w:ind w:left="640"/>
        <w:spacing w:after="0" w:line="258" w:lineRule="auto"/>
        <w:rPr>
          <w:sz w:val="20"/>
          <w:szCs w:val="20"/>
          <w:color w:val="auto"/>
        </w:rPr>
      </w:pPr>
      <w:r>
        <w:rPr>
          <w:rFonts w:ascii="Times New Roman" w:cs="Times New Roman" w:eastAsia="Times New Roman" w:hAnsi="Times New Roman"/>
          <w:sz w:val="18"/>
          <w:szCs w:val="18"/>
          <w:color w:val="auto"/>
        </w:rPr>
        <w:t>Cybersecurity Policies and Procedures: Management reviews and approves the Company’s cybersecurity policies and procedures and communicates these policies and procedures to all employees to ensure adherence to established security protocols.</w:t>
      </w:r>
    </w:p>
    <w:p>
      <w:pPr>
        <w:spacing w:after="0" w:line="58" w:lineRule="exact"/>
        <w:rPr>
          <w:sz w:val="20"/>
          <w:szCs w:val="20"/>
          <w:color w:val="auto"/>
        </w:rPr>
      </w:pPr>
    </w:p>
    <w:p>
      <w:pPr>
        <w:ind w:left="640"/>
        <w:spacing w:after="0" w:line="258" w:lineRule="auto"/>
        <w:rPr>
          <w:sz w:val="20"/>
          <w:szCs w:val="20"/>
          <w:color w:val="auto"/>
        </w:rPr>
      </w:pPr>
      <w:r>
        <w:rPr>
          <w:rFonts w:ascii="Times New Roman" w:cs="Times New Roman" w:eastAsia="Times New Roman" w:hAnsi="Times New Roman"/>
          <w:sz w:val="18"/>
          <w:szCs w:val="18"/>
          <w:color w:val="auto"/>
        </w:rPr>
        <w:t>Incident Response Plan Oversight: Management reviews, updates and approves the Company’s incident response plan. Management ensures that the plan is tested annually to determine the Company’s ability to respond effectively.</w:t>
      </w:r>
    </w:p>
    <w:p>
      <w:pPr>
        <w:spacing w:after="0" w:line="58" w:lineRule="exact"/>
        <w:rPr>
          <w:sz w:val="20"/>
          <w:szCs w:val="20"/>
          <w:color w:val="auto"/>
        </w:rPr>
      </w:pPr>
    </w:p>
    <w:p>
      <w:pPr>
        <w:ind w:left="640"/>
        <w:spacing w:after="0" w:line="258" w:lineRule="auto"/>
        <w:rPr>
          <w:sz w:val="20"/>
          <w:szCs w:val="20"/>
          <w:color w:val="auto"/>
        </w:rPr>
      </w:pPr>
      <w:r>
        <w:rPr>
          <w:rFonts w:ascii="Times New Roman" w:cs="Times New Roman" w:eastAsia="Times New Roman" w:hAnsi="Times New Roman"/>
          <w:sz w:val="18"/>
          <w:szCs w:val="18"/>
          <w:color w:val="auto"/>
        </w:rPr>
        <w:t>Compliance with Regulations: Management implements and maintains compliance with relevant cybersecurity regulations and standards applicable to the Company.</w:t>
      </w:r>
    </w:p>
    <w:p>
      <w:pPr>
        <w:spacing w:after="0" w:line="45"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Budgeting and Resource Allocation: Management reviews budgets for cybersecurity initiatives and ensures that adequate resources are allocated to address cybersecurity risks and that investments in cybersecurity align with the Company’s risk tolerance and strategic objectives.</w:t>
      </w:r>
    </w:p>
    <w:p>
      <w:pPr>
        <w:spacing w:after="0" w:line="30"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Reporting to the Audit Committee: Management provides an annual comprehensive report to the Audit Committee on the Company’s cybersecurity posture, incident response activities and risk mitigation efforts.</w:t>
      </w:r>
    </w:p>
    <w:p>
      <w:pPr>
        <w:spacing w:after="0" w:line="110"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The VP of IT Operations and Strategy is promptly informed of potential cybersecurity risks, threats and vulnerabilities by the Company’s IT security team or the Company’s SIEM partner. Once an incident has been identified, the VP of IT Operations and Strategy and the IT security team assess the criticality and impact of the incident on the Company’s business operations. The VP of IT Operations and Strategy then formulates and oversees a response to contain, eradicate and resolve incidents in accordance with the Company’s incident response plan. Management is responsible for reporting incidents to the appropriate authorities as necessary and engaging the Audit Committee on all material incidents.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Location</w:t>
            </w:r>
          </w:p>
        </w:tc>
      </w:tr>
      <w:tr>
        <w:trPr>
          <w:trHeight w:val="185"/>
        </w:trPr>
        <w:tc>
          <w:tcPr>
            <w:tcW w:w="7160" w:type="dxa"/>
            <w:vAlign w:val="bottom"/>
            <w:tcBorders>
              <w:top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 xml:space="preserve">Corporate and </w:t>
            </w:r>
            <w:r>
              <w:rPr>
                <w:rFonts w:ascii="Times New Roman" w:cs="Times New Roman" w:eastAsia="Times New Roman" w:hAnsi="Times New Roman"/>
                <w:sz w:val="18"/>
                <w:szCs w:val="18"/>
                <w:i w:val="1"/>
                <w:iCs w:val="1"/>
                <w:color w:val="auto"/>
              </w:rPr>
              <w:t>The Dallas Morning News</w:t>
            </w:r>
          </w:p>
        </w:tc>
        <w:tc>
          <w:tcPr>
            <w:tcW w:w="26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Leased</w:t>
            </w:r>
          </w:p>
        </w:tc>
        <w:tc>
          <w:tcPr>
            <w:tcW w:w="24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Dallas, Texas</w:t>
            </w:r>
          </w:p>
        </w:tc>
      </w:tr>
      <w:tr>
        <w:trPr>
          <w:trHeight w:val="185"/>
        </w:trPr>
        <w:tc>
          <w:tcPr>
            <w:tcW w:w="742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auto"/>
              </w:rPr>
              <w:t>Printing facilities</w:t>
            </w:r>
          </w:p>
        </w:tc>
        <w:tc>
          <w:tcPr>
            <w:tcW w:w="1660" w:type="dxa"/>
            <w:vAlign w:val="bottom"/>
            <w:gridSpan w:val="2"/>
          </w:tcPr>
          <w:p>
            <w:pPr>
              <w:jc w:val="center"/>
              <w:ind w:right="240"/>
              <w:spacing w:after="0" w:line="186" w:lineRule="exact"/>
              <w:rPr>
                <w:sz w:val="20"/>
                <w:szCs w:val="20"/>
                <w:color w:val="auto"/>
              </w:rPr>
            </w:pPr>
            <w:r>
              <w:rPr>
                <w:rFonts w:ascii="Times New Roman" w:cs="Times New Roman" w:eastAsia="Times New Roman" w:hAnsi="Times New Roman"/>
                <w:sz w:val="18"/>
                <w:szCs w:val="18"/>
                <w:color w:val="auto"/>
                <w:w w:val="96"/>
              </w:rPr>
              <w:t>Owned</w:t>
            </w:r>
          </w:p>
        </w:tc>
        <w:tc>
          <w:tcPr>
            <w:tcW w:w="216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6"/>
              </w:rPr>
              <w:t>Plano, Texas</w:t>
            </w:r>
          </w:p>
        </w:tc>
      </w:tr>
      <w:tr>
        <w:trPr>
          <w:trHeight w:val="185"/>
        </w:trPr>
        <w:tc>
          <w:tcPr>
            <w:tcW w:w="742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Shared mail packaging office and warehouse</w:t>
            </w:r>
          </w:p>
        </w:tc>
        <w:tc>
          <w:tcPr>
            <w:tcW w:w="1660" w:type="dxa"/>
            <w:vAlign w:val="bottom"/>
            <w:gridSpan w:val="2"/>
            <w:shd w:val="clear" w:color="auto" w:fill="CCEEFF"/>
          </w:tcPr>
          <w:p>
            <w:pPr>
              <w:jc w:val="center"/>
              <w:ind w:right="240"/>
              <w:spacing w:after="0" w:line="186" w:lineRule="exact"/>
              <w:rPr>
                <w:sz w:val="20"/>
                <w:szCs w:val="20"/>
                <w:color w:val="auto"/>
              </w:rPr>
            </w:pPr>
            <w:r>
              <w:rPr>
                <w:rFonts w:ascii="Times New Roman" w:cs="Times New Roman" w:eastAsia="Times New Roman" w:hAnsi="Times New Roman"/>
                <w:sz w:val="18"/>
                <w:szCs w:val="18"/>
                <w:color w:val="auto"/>
                <w:w w:val="97"/>
              </w:rPr>
              <w:t>Leased</w:t>
            </w:r>
          </w:p>
        </w:tc>
        <w:tc>
          <w:tcPr>
            <w:tcW w:w="216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5"/>
              </w:rPr>
              <w:t>Tempe, Arizona</w:t>
            </w:r>
          </w:p>
        </w:tc>
      </w:tr>
    </w:tbl>
    <w:p>
      <w:pPr>
        <w:spacing w:after="0" w:line="154"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7"/>
          <w:szCs w:val="17"/>
          <w:color w:val="auto"/>
        </w:rPr>
        <w:t>In addition to the properties above, the Company has various leased locations it uses for news reporting and the distribution of the Company’s publications, and it leases property in Tulsa, Oklahoma used for sales operations. As of December 31, 2023, in aggregate, the Company leased facilities for current use consisting of approximately 212,000 square feet and owns property that includes land and a building consisting of approximately 1,258,000 square feet.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Currently, there is a legal proceeding pending against DallasNews. In the opinion of management, liabilities, if any, arising from this legal proceeding would not have a material adverse effect on DallasNews’ results of operations, liquidity or financial condition. DallasNews and its subsidiaries may be subject to litigation, including matters relating to alleged libel or defamation, governmental proceedings and investigations. Adverse determinations in any such matters could require DallasNews to make monetary payments or result in other sanctions or findings that could adversely affect the Company’s business, financial condition and results of operations. Insurance coverage, if any, may not be adequate to cover all costs and/or losses. In some instances, the Company may have a contractual obligation from a third-party to indemnify liabilities related to litigation or governmental investigation, but if the third-party fails to indemnify us, the Company would be responsible for monetary damages.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3" w:lineRule="exact"/>
        <w:rPr>
          <w:sz w:val="20"/>
          <w:szCs w:val="20"/>
          <w:color w:val="auto"/>
        </w:rPr>
      </w:pPr>
    </w:p>
    <w:p>
      <w:pPr>
        <w:jc w:val="right"/>
        <w:spacing w:after="0"/>
        <w:tabs>
          <w:tab w:leader="none" w:pos="5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5"/>
          <w:szCs w:val="15"/>
          <w:b w:val="1"/>
          <w:bCs w:val="1"/>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Company’s authorized common equity consists of 31,250,000 shares of common stock, par value $.01 per share. The Company has two series of common stock outstanding, Series A and Series B. Shares of the two series are identical in all respects except as noted herein. Shares of Series B common stock are entitled to 10 votes per share on all matters submitted to a vote of shareholders, and shares of Series A common stock are entitled to one vote per share. Transferability of the Series B common stock is limited to family members and affiliated entities of the holder. Shares of Series B common stock are convertible at any time on a one-for-one basis into shares of Series A common stock and upon a transfer, other than as described above, shares of Series B common stock automatically convert into Series A common stock. The Company’s Series A common stock is traded on The Nasdaq Stock Market LLC (Nasdaq trading symbol: DALN). Shares of the Company’s Series A common stock were traded on the New York Stock Exchange (NYSE trading symbol: AHC) from February 2008 until June 2021. There is no established public trading market for shares of Series B common stock.</w:t>
      </w:r>
    </w:p>
    <w:p>
      <w:pPr>
        <w:spacing w:after="0" w:line="15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declaration of dividends is subject to the discretion of DallasNews’ board of directors. The determination as to the amount declared and its timing depends on, among other things, DallasNews’ results of operations and financial condition, capital requirements, other contractual restrictions, prospects, applicable law, general economic and business conditions and other future factors that are deemed relevant. The board of directors generally declares dividends during the quarter preceding its stated measurement and payment dates. DallasNews cannot provide any assurance that future dividends will be declared and paid due to the factors discussed in the “</w:t>
      </w:r>
      <w:r>
        <w:rPr>
          <w:rFonts w:ascii="Times New Roman" w:cs="Times New Roman" w:eastAsia="Times New Roman" w:hAnsi="Times New Roman"/>
          <w:sz w:val="18"/>
          <w:szCs w:val="18"/>
          <w:u w:val="single" w:color="auto"/>
          <w:color w:val="0000FF"/>
        </w:rPr>
        <w:t>Cautionary Statement Concerning Forward-Looking Statements</w:t>
      </w:r>
      <w:r>
        <w:rPr>
          <w:rFonts w:ascii="Times New Roman" w:cs="Times New Roman" w:eastAsia="Times New Roman" w:hAnsi="Times New Roman"/>
          <w:sz w:val="18"/>
          <w:szCs w:val="18"/>
          <w:color w:val="auto"/>
        </w:rPr>
        <w:t>” and elsewhere in this Annual Report on Form 10-K. The table below sets forth the high and low sales prices reported on The Nasdaq Stock Market LLC for a share of the Company’s common stock and the recorded cash dividends per share declared for the past two years.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Stock Price</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Dividends</w:t>
            </w:r>
          </w:p>
        </w:tc>
      </w:tr>
      <w:tr>
        <w:trPr>
          <w:trHeight w:val="165"/>
        </w:trPr>
        <w:tc>
          <w:tcPr>
            <w:tcW w:w="5420" w:type="dxa"/>
            <w:vAlign w:val="bottom"/>
          </w:tcPr>
          <w:p>
            <w:pPr>
              <w:spacing w:after="0"/>
              <w:rPr>
                <w:sz w:val="14"/>
                <w:szCs w:val="14"/>
                <w:color w:val="auto"/>
              </w:rPr>
            </w:pPr>
          </w:p>
        </w:tc>
        <w:tc>
          <w:tcPr>
            <w:tcW w:w="8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High</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400"/>
              <w:spacing w:after="0" w:line="159" w:lineRule="exact"/>
              <w:rPr>
                <w:sz w:val="20"/>
                <w:szCs w:val="20"/>
                <w:color w:val="auto"/>
              </w:rPr>
            </w:pPr>
            <w:r>
              <w:rPr>
                <w:rFonts w:ascii="Times New Roman" w:cs="Times New Roman" w:eastAsia="Times New Roman" w:hAnsi="Times New Roman"/>
                <w:sz w:val="14"/>
                <w:szCs w:val="14"/>
                <w:b w:val="1"/>
                <w:bCs w:val="1"/>
                <w:color w:val="auto"/>
              </w:rPr>
              <w:t>Low</w:t>
            </w:r>
          </w:p>
        </w:tc>
        <w:tc>
          <w:tcPr>
            <w:tcW w:w="340" w:type="dxa"/>
            <w:vAlign w:val="bottom"/>
          </w:tcPr>
          <w:p>
            <w:pPr>
              <w:spacing w:after="0"/>
              <w:rPr>
                <w:sz w:val="14"/>
                <w:szCs w:val="14"/>
                <w:color w:val="auto"/>
              </w:rPr>
            </w:pPr>
          </w:p>
        </w:tc>
        <w:tc>
          <w:tcPr>
            <w:tcW w:w="1000" w:type="dxa"/>
            <w:vAlign w:val="bottom"/>
          </w:tcPr>
          <w:p>
            <w:pPr>
              <w:jc w:val="right"/>
              <w:ind w:right="414"/>
              <w:spacing w:after="0" w:line="159" w:lineRule="exact"/>
              <w:rPr>
                <w:sz w:val="20"/>
                <w:szCs w:val="20"/>
                <w:color w:val="auto"/>
              </w:rPr>
            </w:pPr>
            <w:r>
              <w:rPr>
                <w:rFonts w:ascii="Times New Roman" w:cs="Times New Roman" w:eastAsia="Times New Roman" w:hAnsi="Times New Roman"/>
                <w:sz w:val="14"/>
                <w:szCs w:val="14"/>
                <w:b w:val="1"/>
                <w:bCs w:val="1"/>
                <w:color w:val="auto"/>
              </w:rPr>
              <w:t>Close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56"/>
              <w:spacing w:after="0" w:line="159" w:lineRule="exact"/>
              <w:rPr>
                <w:sz w:val="20"/>
                <w:szCs w:val="20"/>
                <w:color w:val="auto"/>
              </w:rPr>
            </w:pPr>
            <w:r>
              <w:rPr>
                <w:rFonts w:ascii="Times New Roman" w:cs="Times New Roman" w:eastAsia="Times New Roman" w:hAnsi="Times New Roman"/>
                <w:sz w:val="14"/>
                <w:szCs w:val="14"/>
                <w:b w:val="1"/>
                <w:bCs w:val="1"/>
                <w:color w:val="auto"/>
              </w:rPr>
              <w:t>Declared (1)(2)</w:t>
            </w:r>
          </w:p>
        </w:tc>
      </w:tr>
      <w:tr>
        <w:trPr>
          <w:trHeight w:val="186"/>
        </w:trPr>
        <w:tc>
          <w:tcPr>
            <w:tcW w:w="5420" w:type="dxa"/>
            <w:vAlign w:val="bottom"/>
            <w:tcBorders>
              <w:top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186"/>
        </w:trPr>
        <w:tc>
          <w:tcPr>
            <w:tcW w:w="542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color w:val="auto"/>
              </w:rPr>
              <w:t>Fourth quarter</w:t>
            </w:r>
          </w:p>
        </w:tc>
        <w:tc>
          <w:tcPr>
            <w:tcW w:w="880" w:type="dxa"/>
            <w:vAlign w:val="bottom"/>
          </w:tcPr>
          <w:p>
            <w:pPr>
              <w:jc w:val="right"/>
              <w:ind w:right="638"/>
              <w:spacing w:after="0" w:line="18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4.85</w:t>
            </w:r>
          </w:p>
        </w:tc>
        <w:tc>
          <w:tcPr>
            <w:tcW w:w="140" w:type="dxa"/>
            <w:vAlign w:val="bottom"/>
          </w:tcPr>
          <w:p>
            <w:pPr>
              <w:spacing w:after="0"/>
              <w:rPr>
                <w:sz w:val="16"/>
                <w:szCs w:val="16"/>
                <w:color w:val="auto"/>
              </w:rPr>
            </w:pPr>
          </w:p>
        </w:tc>
        <w:tc>
          <w:tcPr>
            <w:tcW w:w="260" w:type="dxa"/>
            <w:vAlign w:val="bottom"/>
          </w:tcPr>
          <w:p>
            <w:pPr>
              <w:jc w:val="right"/>
              <w:ind w:right="12"/>
              <w:spacing w:after="0" w:line="18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3.72</w:t>
            </w:r>
          </w:p>
        </w:tc>
        <w:tc>
          <w:tcPr>
            <w:tcW w:w="160" w:type="dxa"/>
            <w:vAlign w:val="bottom"/>
          </w:tcPr>
          <w:p>
            <w:pPr>
              <w:spacing w:after="0"/>
              <w:rPr>
                <w:sz w:val="16"/>
                <w:szCs w:val="16"/>
                <w:color w:val="auto"/>
              </w:rPr>
            </w:pPr>
          </w:p>
        </w:tc>
        <w:tc>
          <w:tcPr>
            <w:tcW w:w="340" w:type="dxa"/>
            <w:vAlign w:val="bottom"/>
          </w:tcPr>
          <w:p>
            <w:pPr>
              <w:jc w:val="right"/>
              <w:ind w:right="92"/>
              <w:spacing w:after="0" w:line="18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4.25</w:t>
            </w:r>
          </w:p>
        </w:tc>
        <w:tc>
          <w:tcPr>
            <w:tcW w:w="160" w:type="dxa"/>
            <w:vAlign w:val="bottom"/>
          </w:tcPr>
          <w:p>
            <w:pPr>
              <w:spacing w:after="0"/>
              <w:rPr>
                <w:sz w:val="16"/>
                <w:szCs w:val="16"/>
                <w:color w:val="auto"/>
              </w:rPr>
            </w:pPr>
          </w:p>
        </w:tc>
        <w:tc>
          <w:tcPr>
            <w:tcW w:w="2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0.16</w:t>
            </w:r>
          </w:p>
        </w:tc>
      </w:tr>
      <w:tr>
        <w:trPr>
          <w:trHeight w:val="185"/>
        </w:trPr>
        <w:tc>
          <w:tcPr>
            <w:tcW w:w="542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Third quarter</w:t>
            </w: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5.13</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3.81</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4.60</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0.16</w:t>
            </w:r>
          </w:p>
        </w:tc>
      </w:tr>
      <w:tr>
        <w:trPr>
          <w:trHeight w:val="186"/>
        </w:trPr>
        <w:tc>
          <w:tcPr>
            <w:tcW w:w="542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color w:val="auto"/>
              </w:rPr>
              <w:t>Second quarter</w:t>
            </w:r>
          </w:p>
        </w:tc>
        <w:tc>
          <w:tcPr>
            <w:tcW w:w="880" w:type="dxa"/>
            <w:vAlign w:val="bottom"/>
          </w:tcPr>
          <w:p>
            <w:pPr>
              <w:spacing w:after="0"/>
              <w:rPr>
                <w:sz w:val="16"/>
                <w:szCs w:val="16"/>
                <w:color w:val="auto"/>
              </w:rPr>
            </w:pPr>
          </w:p>
        </w:tc>
        <w:tc>
          <w:tcPr>
            <w:tcW w:w="4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4.80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3.75</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3.89</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0.16</w:t>
            </w:r>
          </w:p>
        </w:tc>
      </w:tr>
      <w:tr>
        <w:trPr>
          <w:trHeight w:val="185"/>
        </w:trPr>
        <w:tc>
          <w:tcPr>
            <w:tcW w:w="542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First quarter</w:t>
            </w: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5.70</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3.83</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4.42</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0.16</w:t>
            </w:r>
          </w:p>
        </w:tc>
      </w:tr>
      <w:tr>
        <w:trPr>
          <w:trHeight w:val="159"/>
        </w:trPr>
        <w:tc>
          <w:tcPr>
            <w:tcW w:w="5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5"/>
        </w:trPr>
        <w:tc>
          <w:tcPr>
            <w:tcW w:w="542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2022</w:t>
            </w: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542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color w:val="auto"/>
              </w:rPr>
              <w:t>Fourth quarter</w:t>
            </w:r>
          </w:p>
        </w:tc>
        <w:tc>
          <w:tcPr>
            <w:tcW w:w="880" w:type="dxa"/>
            <w:vAlign w:val="bottom"/>
          </w:tcPr>
          <w:p>
            <w:pPr>
              <w:jc w:val="right"/>
              <w:ind w:right="638"/>
              <w:spacing w:after="0" w:line="18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5.42</w:t>
            </w:r>
          </w:p>
        </w:tc>
        <w:tc>
          <w:tcPr>
            <w:tcW w:w="140" w:type="dxa"/>
            <w:vAlign w:val="bottom"/>
          </w:tcPr>
          <w:p>
            <w:pPr>
              <w:spacing w:after="0"/>
              <w:rPr>
                <w:sz w:val="16"/>
                <w:szCs w:val="16"/>
                <w:color w:val="auto"/>
              </w:rPr>
            </w:pPr>
          </w:p>
        </w:tc>
        <w:tc>
          <w:tcPr>
            <w:tcW w:w="260" w:type="dxa"/>
            <w:vAlign w:val="bottom"/>
          </w:tcPr>
          <w:p>
            <w:pPr>
              <w:jc w:val="right"/>
              <w:ind w:right="12"/>
              <w:spacing w:after="0" w:line="18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3.73</w:t>
            </w:r>
          </w:p>
        </w:tc>
        <w:tc>
          <w:tcPr>
            <w:tcW w:w="160" w:type="dxa"/>
            <w:vAlign w:val="bottom"/>
          </w:tcPr>
          <w:p>
            <w:pPr>
              <w:spacing w:after="0"/>
              <w:rPr>
                <w:sz w:val="16"/>
                <w:szCs w:val="16"/>
                <w:color w:val="auto"/>
              </w:rPr>
            </w:pPr>
          </w:p>
        </w:tc>
        <w:tc>
          <w:tcPr>
            <w:tcW w:w="340" w:type="dxa"/>
            <w:vAlign w:val="bottom"/>
          </w:tcPr>
          <w:p>
            <w:pPr>
              <w:jc w:val="right"/>
              <w:ind w:right="92"/>
              <w:spacing w:after="0" w:line="18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3.86</w:t>
            </w:r>
          </w:p>
        </w:tc>
        <w:tc>
          <w:tcPr>
            <w:tcW w:w="160" w:type="dxa"/>
            <w:vAlign w:val="bottom"/>
          </w:tcPr>
          <w:p>
            <w:pPr>
              <w:spacing w:after="0"/>
              <w:rPr>
                <w:sz w:val="16"/>
                <w:szCs w:val="16"/>
                <w:color w:val="auto"/>
              </w:rPr>
            </w:pPr>
          </w:p>
        </w:tc>
        <w:tc>
          <w:tcPr>
            <w:tcW w:w="2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0.16</w:t>
            </w:r>
          </w:p>
        </w:tc>
      </w:tr>
      <w:tr>
        <w:trPr>
          <w:trHeight w:val="185"/>
        </w:trPr>
        <w:tc>
          <w:tcPr>
            <w:tcW w:w="542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Third quarter</w:t>
            </w: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8.49</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4.51</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4.64</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1.66</w:t>
            </w:r>
          </w:p>
        </w:tc>
      </w:tr>
      <w:tr>
        <w:trPr>
          <w:trHeight w:val="154"/>
        </w:trPr>
        <w:tc>
          <w:tcPr>
            <w:tcW w:w="5420" w:type="dxa"/>
            <w:vAlign w:val="bottom"/>
          </w:tcPr>
          <w:p>
            <w:pPr>
              <w:ind w:left="220"/>
              <w:spacing w:after="0" w:line="154" w:lineRule="exact"/>
              <w:rPr>
                <w:sz w:val="20"/>
                <w:szCs w:val="20"/>
                <w:color w:val="auto"/>
              </w:rPr>
            </w:pPr>
            <w:r>
              <w:rPr>
                <w:rFonts w:ascii="Times New Roman" w:cs="Times New Roman" w:eastAsia="Times New Roman" w:hAnsi="Times New Roman"/>
                <w:sz w:val="17"/>
                <w:szCs w:val="17"/>
                <w:color w:val="auto"/>
              </w:rPr>
              <w:t>Second quarter</w:t>
            </w:r>
          </w:p>
        </w:tc>
        <w:tc>
          <w:tcPr>
            <w:tcW w:w="880" w:type="dxa"/>
            <w:vAlign w:val="bottom"/>
          </w:tcPr>
          <w:p>
            <w:pPr>
              <w:spacing w:after="0"/>
              <w:rPr>
                <w:sz w:val="13"/>
                <w:szCs w:val="13"/>
                <w:color w:val="auto"/>
              </w:rPr>
            </w:pPr>
          </w:p>
        </w:tc>
        <w:tc>
          <w:tcPr>
            <w:tcW w:w="460" w:type="dxa"/>
            <w:vAlign w:val="bottom"/>
          </w:tcPr>
          <w:p>
            <w:pPr>
              <w:jc w:val="right"/>
              <w:spacing w:after="0" w:line="154" w:lineRule="exact"/>
              <w:rPr>
                <w:sz w:val="20"/>
                <w:szCs w:val="20"/>
                <w:color w:val="auto"/>
              </w:rPr>
            </w:pPr>
            <w:r>
              <w:rPr>
                <w:rFonts w:ascii="Times New Roman" w:cs="Times New Roman" w:eastAsia="Times New Roman" w:hAnsi="Times New Roman"/>
                <w:sz w:val="17"/>
                <w:szCs w:val="17"/>
                <w:color w:val="auto"/>
              </w:rPr>
              <w:t>7.05</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line="154" w:lineRule="exact"/>
              <w:rPr>
                <w:sz w:val="20"/>
                <w:szCs w:val="20"/>
                <w:color w:val="auto"/>
              </w:rPr>
            </w:pPr>
            <w:r>
              <w:rPr>
                <w:rFonts w:ascii="Times New Roman" w:cs="Times New Roman" w:eastAsia="Times New Roman" w:hAnsi="Times New Roman"/>
                <w:sz w:val="17"/>
                <w:szCs w:val="17"/>
                <w:color w:val="auto"/>
              </w:rPr>
              <w:t>5.99</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spacing w:after="0" w:line="154" w:lineRule="exact"/>
              <w:rPr>
                <w:sz w:val="20"/>
                <w:szCs w:val="20"/>
                <w:color w:val="auto"/>
              </w:rPr>
            </w:pPr>
            <w:r>
              <w:rPr>
                <w:rFonts w:ascii="Times New Roman" w:cs="Times New Roman" w:eastAsia="Times New Roman" w:hAnsi="Times New Roman"/>
                <w:sz w:val="17"/>
                <w:szCs w:val="17"/>
                <w:color w:val="auto"/>
              </w:rPr>
              <w:t>6.33</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spacing w:after="0" w:line="154" w:lineRule="exact"/>
              <w:rPr>
                <w:sz w:val="20"/>
                <w:szCs w:val="20"/>
                <w:color w:val="auto"/>
              </w:rPr>
            </w:pPr>
            <w:r>
              <w:rPr>
                <w:rFonts w:ascii="Times New Roman" w:cs="Times New Roman" w:eastAsia="Times New Roman" w:hAnsi="Times New Roman"/>
                <w:sz w:val="17"/>
                <w:szCs w:val="17"/>
                <w:color w:val="auto"/>
              </w:rPr>
              <w:t>0.16</w:t>
            </w:r>
          </w:p>
        </w:tc>
      </w:tr>
      <w:tr>
        <w:trPr>
          <w:trHeight w:val="208"/>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 quarter</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134860" cy="1174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17475"/>
                    </a:xfrm>
                    <a:prstGeom prst="rect">
                      <a:avLst/>
                    </a:prstGeom>
                    <a:noFill/>
                  </pic:spPr>
                </pic:pic>
              </a:graphicData>
            </a:graphic>
          </wp:anchor>
        </w:drawing>
      </w:r>
    </w:p>
    <w:p>
      <w:pPr>
        <w:ind w:left="800" w:hanging="311"/>
        <w:spacing w:after="0" w:line="221" w:lineRule="auto"/>
        <w:tabs>
          <w:tab w:leader="none" w:pos="8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dividends are recorded in the period declared. This table reflects the period the dividends were paid.</w:t>
      </w:r>
    </w:p>
    <w:p>
      <w:pPr>
        <w:ind w:left="800" w:right="300" w:hanging="311"/>
        <w:spacing w:after="0" w:line="230" w:lineRule="auto"/>
        <w:tabs>
          <w:tab w:leader="none" w:pos="8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On August 22, 2022, the Company’s board of directors declared a special, one-time $1.50 per share dividend to shareholders of record as of the close of business on September 9, 2022, which was paid on September 30, 2022, returning $8,029 to shareholders.</w:t>
      </w:r>
    </w:p>
    <w:p>
      <w:pPr>
        <w:spacing w:after="0" w:line="15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closing price of the Company’s Series A common stock as reported on The Nasdaq Stock Market LLC on March 1, 2024, was $3.99. The approximate number of shareholders of record of the Company’s Series A and Series B common stock at the close of business on March 1, 2024, was 277 and 67,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Compensation Plan Information</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information set forth under the heading “Equity Compensation Plan Information” contained in the definitive Proxy Statement for the Company’s Annual Meeting of Shareholders, to be held on May 9, 2024 is incorporated herein by reference.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Sales of Unregistered Securities</w:t>
      </w:r>
    </w:p>
    <w:p>
      <w:pPr>
        <w:spacing w:after="0" w:line="17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During 2023 and 2022, shares of the Company’s Series B common stock in the amounts of 80 and 192, respectively, were converted, on a one-for-one basis, into shares of Series A common stock. The Company did not register the issuance of these securities under the Securities Act of 1933 (the “Securities Act”) in reliance upon the exemption under Section 3(a)(9) of the Securities Act.</w:t>
      </w:r>
    </w:p>
    <w:p>
      <w:pPr>
        <w:spacing w:after="0" w:line="200" w:lineRule="exact"/>
        <w:rPr>
          <w:sz w:val="20"/>
          <w:szCs w:val="20"/>
          <w:color w:val="auto"/>
        </w:rPr>
      </w:pPr>
    </w:p>
    <w:p>
      <w:pPr>
        <w:spacing w:after="0" w:line="271" w:lineRule="exact"/>
        <w:rPr>
          <w:sz w:val="20"/>
          <w:szCs w:val="20"/>
          <w:color w:val="auto"/>
        </w:rPr>
      </w:pPr>
    </w:p>
    <w:p>
      <w:pPr>
        <w:jc w:val="right"/>
        <w:spacing w:after="0"/>
        <w:tabs>
          <w:tab w:leader="none" w:pos="6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DallasNews intends for the discussion of its financial condition and results of operations that follows to provide information that will assist in understanding its financial statements, the changes in certain key items in those statements from period to period, and the primary factors that accounted for those changes, as well as how certain accounting principles, policies and estimates affect its financial statements. The following information should be read in conjunction with the Company’s consolidated financial statements and related notes filed as part of this report. All dollar amounts presented herein, except share and per share amounts, are in thousands, unless the context indicates otherwise.</w:t>
      </w:r>
    </w:p>
    <w:p>
      <w:pPr>
        <w:spacing w:after="0" w:line="15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This section and other parts of this Annual Report on Form 10-K contain certain forward-looking statements. Forward-looking statements are subject to risks, uncertainties and other factors that could cause actual results to differ materially from those statements. See the </w:t>
      </w:r>
      <w:r>
        <w:rPr>
          <w:rFonts w:ascii="Times New Roman" w:cs="Times New Roman" w:eastAsia="Times New Roman" w:hAnsi="Times New Roman"/>
          <w:sz w:val="18"/>
          <w:szCs w:val="18"/>
          <w:u w:val="single" w:color="auto"/>
          <w:color w:val="0000FF"/>
        </w:rPr>
        <w:t>Cautionary Statement Concerning Forward-Looking Statements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this Annual Report for further discussion.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DallasNews Corporation and its subsidiaries are referred to collectively herein as “DallasNews” or the “Company.” DallasNews was formed in February 2008 through a spin-off from its former parent company and is registered on The Nasdaq Stock Market LLC (Nasdaq trading symbol: DALN). DallasNews is the Dallas-based holding company of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and Medium Giant.</w:t>
      </w:r>
    </w:p>
    <w:p>
      <w:pPr>
        <w:spacing w:after="0" w:line="1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The Company operates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dallasnews.com</w:t>
      </w:r>
      <w:r>
        <w:rPr>
          <w:rFonts w:ascii="Times New Roman" w:cs="Times New Roman" w:eastAsia="Times New Roman" w:hAnsi="Times New Roman"/>
          <w:sz w:val="18"/>
          <w:szCs w:val="18"/>
          <w:color w:val="auto"/>
        </w:rPr>
        <w:t>), Texas’ leading newspaper and winner of nine Pulitzer Prizes. These operations generate revenue from sales of advertising within the Company’s newspaper and digital platforms, subscriptions and retail sales of its newspaper, commercial printing and distribution services primarily related to national newspapers.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Company has a full-service agency, Medium Giant, with capabilities including strategy, creative and media management with a focus on strategic and digital marketing, and data intelligence that provide a measurable return on investment to its clients.</w:t>
      </w:r>
    </w:p>
    <w:p>
      <w:pPr>
        <w:spacing w:after="0" w:line="13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The Company and its business partners are subject to risks and uncertainties caused by factors beyond its control, including macroeconomic factors such as inflation. If inflation remains at current levels, or increases, for an extended period, certain operating costs could increase or advertiser spending could be impacted. If a pandemic were to affect a significant number of the workforce employed in printing operations, the Company may experience delays or be unable to produce, print and deliver its publications and other third-party print publications on a timely basis. The Company continues to evaluate for any future material impacts on its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Significant Transactions</w:t>
      </w:r>
    </w:p>
    <w:p>
      <w:pPr>
        <w:spacing w:after="0" w:line="17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Operating results for 2023 reflect relative stability in circulation revenue while print advertising revenue continues to decline as expected. The Company is committed to maintaining the leading digital and print platforms for delivering news of the highest quality and reliability in the North Texas area, as well as creating and developing innovative print and digital marketing services capabilities that address the needs of clients and advertisers. The Company continues its efforts to diversify revenues through its digital platforms for delivery of news and advertising, growing its paid digital subscriptions, and leveraging its brand and personnel to enhance its media agency solutions. However, there is no guarantee the Company will be able to generate enough digital revenue or margin to offset the possible future loss of print advertising and circulation revenue and margin.</w:t>
      </w:r>
    </w:p>
    <w:p>
      <w:pPr>
        <w:spacing w:after="0" w:line="14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During the year ended December 31, 2023, the Company performed a review of potential impairment indicators for its long-lived assets, including property, plant and equipment, and right-of-use assets. The Company determined there was no significant decrease in the market value of the long-lived assets or significant change in the extent or manner in which the asset group is being used or in its physical condition as of December 31, 2023, and there was no significant adverse change in legal factors or in the business climate during the period that could affect the value of the asset group. Based upon the review of indicators, the Company did not identify any events or changes in circumstances that indicate the carrying amount of long-lived assets may not be recoverable. In part this is due to the estimated fair value of certain land and buildings significantly exceeding their carrying value. </w:t>
      </w:r>
      <w:r>
        <w:rPr>
          <w:rFonts w:ascii="Times New Roman" w:cs="Times New Roman" w:eastAsia="Times New Roman" w:hAnsi="Times New Roman"/>
          <w:sz w:val="18"/>
          <w:szCs w:val="18"/>
          <w:color w:val="212529"/>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Note 4 – 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for information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the right-of-use asset impairment that occurred in 2022.</w:t>
      </w:r>
    </w:p>
    <w:p>
      <w:pPr>
        <w:spacing w:after="0" w:line="15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In 2023, the Company invested $10,500 in Certificates of Deposit (“CD’s”) with original maturities of one year or less; see </w:t>
      </w:r>
      <w:r>
        <w:rPr>
          <w:rFonts w:ascii="Times New Roman" w:cs="Times New Roman" w:eastAsia="Times New Roman" w:hAnsi="Times New Roman"/>
          <w:sz w:val="18"/>
          <w:szCs w:val="18"/>
          <w:u w:val="single" w:color="auto"/>
          <w:color w:val="0000FF"/>
        </w:rPr>
        <w:t>Note 3 – Financial Instruments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Accounts Receivable, Net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information.</w:t>
      </w:r>
    </w:p>
    <w:p>
      <w:pPr>
        <w:spacing w:after="0" w:line="15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Quarterly dividends returned $3,426 and $11,454 to shareholders in 2023 and 2022, respectively. In August 2022, the Company’s board of directors declared a special, one-time $1.50 per share dividend, returning $8,029 to shareholders.</w:t>
      </w:r>
    </w:p>
    <w:p>
      <w:pPr>
        <w:spacing w:after="0" w:line="15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December 7, 2023, the Company’s board of directors declared a $0.16 per share dividend to shareholders of record as of the close of business on February 9, 2024, paid on March 1, 2024.</w:t>
      </w:r>
    </w:p>
    <w:p>
      <w:pPr>
        <w:spacing w:after="0" w:line="281" w:lineRule="exact"/>
        <w:rPr>
          <w:sz w:val="20"/>
          <w:szCs w:val="20"/>
          <w:color w:val="auto"/>
        </w:rPr>
      </w:pPr>
    </w:p>
    <w:p>
      <w:pPr>
        <w:jc w:val="right"/>
        <w:spacing w:after="0"/>
        <w:tabs>
          <w:tab w:leader="none" w:pos="66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5"/>
          <w:szCs w:val="15"/>
          <w:b w:val="1"/>
          <w:bCs w:val="1"/>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This section contains discussion and analysis of net operating revenue, operating costs and expense and other information relevant to an understanding of results of operations for 2023 and 2022. Based on how the Company’s chief operating decision-maker makes decisions about allocating resources and assessing performance, the Company determined it has one reportable segment.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components of DallasNews’ operating loss.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96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w w:val="99"/>
              </w:rPr>
              <w:t>Years Ended December 31,</w:t>
            </w: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240" w:type="dxa"/>
            <w:vAlign w:val="bottom"/>
          </w:tcPr>
          <w:p>
            <w:pPr>
              <w:spacing w:after="0"/>
              <w:rPr>
                <w:sz w:val="11"/>
                <w:szCs w:val="11"/>
                <w:color w:val="auto"/>
              </w:rPr>
            </w:pPr>
          </w:p>
        </w:tc>
        <w:tc>
          <w:tcPr>
            <w:tcW w:w="1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w w:val="99"/>
              </w:rPr>
              <w:t>Percentage</w:t>
            </w:r>
          </w:p>
        </w:tc>
        <w:tc>
          <w:tcPr>
            <w:tcW w:w="420" w:type="dxa"/>
            <w:vAlign w:val="bottom"/>
          </w:tcPr>
          <w:p>
            <w:pPr>
              <w:spacing w:after="0"/>
              <w:rPr>
                <w:sz w:val="11"/>
                <w:szCs w:val="11"/>
                <w:color w:val="auto"/>
              </w:rPr>
            </w:pPr>
          </w:p>
        </w:tc>
        <w:tc>
          <w:tcPr>
            <w:tcW w:w="1340" w:type="dxa"/>
            <w:vAlign w:val="bottom"/>
            <w:vMerge w:val="restart"/>
          </w:tcPr>
          <w:p>
            <w:pPr>
              <w:jc w:val="right"/>
              <w:ind w:right="654"/>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0" w:type="dxa"/>
            <w:vAlign w:val="bottom"/>
          </w:tcPr>
          <w:p>
            <w:pPr>
              <w:spacing w:after="0"/>
              <w:rPr>
                <w:sz w:val="1"/>
                <w:szCs w:val="1"/>
                <w:color w:val="auto"/>
              </w:rPr>
            </w:pPr>
          </w:p>
        </w:tc>
      </w:tr>
      <w:tr>
        <w:trPr>
          <w:trHeight w:val="177"/>
        </w:trPr>
        <w:tc>
          <w:tcPr>
            <w:tcW w:w="5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7"/>
              </w:rPr>
              <w:t>Change‎</w:t>
            </w:r>
          </w:p>
        </w:tc>
        <w:tc>
          <w:tcPr>
            <w:tcW w:w="4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560" w:type="dxa"/>
            <w:vAlign w:val="bottom"/>
            <w:tcBorders>
              <w:top w:val="single" w:sz="8" w:color="auto"/>
            </w:tcBorders>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Advertising and marketing services</w:t>
            </w:r>
          </w:p>
        </w:tc>
        <w:tc>
          <w:tcPr>
            <w:tcW w:w="460" w:type="dxa"/>
            <w:vAlign w:val="bottom"/>
            <w:tcBorders>
              <w:top w:val="single" w:sz="8" w:color="auto"/>
            </w:tcBorders>
            <w:shd w:val="clear" w:color="auto" w:fill="CCEEFF"/>
          </w:tcPr>
          <w:p>
            <w:pPr>
              <w:jc w:val="right"/>
              <w:ind w:right="297"/>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59,038</w:t>
            </w:r>
          </w:p>
        </w:tc>
        <w:tc>
          <w:tcPr>
            <w:tcW w:w="24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(15.3) %</w:t>
            </w:r>
          </w:p>
        </w:tc>
        <w:tc>
          <w:tcPr>
            <w:tcW w:w="2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57"/>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69,667</w:t>
            </w:r>
          </w:p>
        </w:tc>
        <w:tc>
          <w:tcPr>
            <w:tcW w:w="0" w:type="dxa"/>
            <w:vAlign w:val="bottom"/>
          </w:tcPr>
          <w:p>
            <w:pPr>
              <w:spacing w:after="0"/>
              <w:rPr>
                <w:sz w:val="1"/>
                <w:szCs w:val="1"/>
                <w:color w:val="auto"/>
              </w:rPr>
            </w:pPr>
          </w:p>
        </w:tc>
      </w:tr>
      <w:tr>
        <w:trPr>
          <w:trHeight w:val="186"/>
        </w:trPr>
        <w:tc>
          <w:tcPr>
            <w:tcW w:w="556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Circulation</w:t>
            </w:r>
          </w:p>
        </w:tc>
        <w:tc>
          <w:tcPr>
            <w:tcW w:w="460" w:type="dxa"/>
            <w:vAlign w:val="bottom"/>
          </w:tcPr>
          <w:p>
            <w:pPr>
              <w:spacing w:after="0"/>
              <w:rPr>
                <w:sz w:val="16"/>
                <w:szCs w:val="16"/>
                <w:color w:val="auto"/>
              </w:rPr>
            </w:pPr>
          </w:p>
        </w:tc>
        <w:tc>
          <w:tcPr>
            <w:tcW w:w="12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65,349</w:t>
            </w:r>
          </w:p>
        </w:tc>
        <w:tc>
          <w:tcPr>
            <w:tcW w:w="240" w:type="dxa"/>
            <w:vAlign w:val="bottom"/>
          </w:tcPr>
          <w:p>
            <w:pPr>
              <w:spacing w:after="0"/>
              <w:rPr>
                <w:sz w:val="16"/>
                <w:szCs w:val="16"/>
                <w:color w:val="auto"/>
              </w:rPr>
            </w:pPr>
          </w:p>
        </w:tc>
        <w:tc>
          <w:tcPr>
            <w:tcW w:w="17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0.2 %</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65,191</w:t>
            </w:r>
          </w:p>
        </w:tc>
        <w:tc>
          <w:tcPr>
            <w:tcW w:w="0" w:type="dxa"/>
            <w:vAlign w:val="bottom"/>
          </w:tcPr>
          <w:p>
            <w:pPr>
              <w:spacing w:after="0"/>
              <w:rPr>
                <w:sz w:val="1"/>
                <w:szCs w:val="1"/>
                <w:color w:val="auto"/>
              </w:rPr>
            </w:pPr>
          </w:p>
        </w:tc>
      </w:tr>
      <w:tr>
        <w:trPr>
          <w:trHeight w:val="205"/>
        </w:trPr>
        <w:tc>
          <w:tcPr>
            <w:tcW w:w="5560" w:type="dxa"/>
            <w:vAlign w:val="bottom"/>
            <w:tcBorders>
              <w:bottom w:val="single" w:sz="8" w:color="CCEEFF"/>
            </w:tcBorders>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Printing, distribution and other</w:t>
            </w:r>
          </w:p>
        </w:tc>
        <w:tc>
          <w:tcPr>
            <w:tcW w:w="4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15,309</w:t>
            </w:r>
          </w:p>
        </w:tc>
        <w:tc>
          <w:tcPr>
            <w:tcW w:w="2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(3.1) %</w:t>
            </w:r>
          </w:p>
        </w:tc>
        <w:tc>
          <w:tcPr>
            <w:tcW w:w="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15,793</w:t>
            </w:r>
          </w:p>
        </w:tc>
        <w:tc>
          <w:tcPr>
            <w:tcW w:w="0" w:type="dxa"/>
            <w:vAlign w:val="bottom"/>
          </w:tcPr>
          <w:p>
            <w:pPr>
              <w:spacing w:after="0"/>
              <w:rPr>
                <w:sz w:val="1"/>
                <w:szCs w:val="1"/>
                <w:color w:val="auto"/>
              </w:rPr>
            </w:pPr>
          </w:p>
        </w:tc>
      </w:tr>
      <w:tr>
        <w:trPr>
          <w:trHeight w:val="172"/>
        </w:trPr>
        <w:tc>
          <w:tcPr>
            <w:tcW w:w="5560" w:type="dxa"/>
            <w:vAlign w:val="bottom"/>
          </w:tcPr>
          <w:p>
            <w:pPr>
              <w:ind w:left="220"/>
              <w:spacing w:after="0" w:line="172" w:lineRule="exact"/>
              <w:rPr>
                <w:sz w:val="20"/>
                <w:szCs w:val="20"/>
                <w:color w:val="auto"/>
              </w:rPr>
            </w:pPr>
            <w:r>
              <w:rPr>
                <w:rFonts w:ascii="Times New Roman" w:cs="Times New Roman" w:eastAsia="Times New Roman" w:hAnsi="Times New Roman"/>
                <w:sz w:val="18"/>
                <w:szCs w:val="18"/>
                <w:b w:val="1"/>
                <w:bCs w:val="1"/>
                <w:color w:val="auto"/>
              </w:rPr>
              <w:t>Total Net Operating Revenue</w:t>
            </w:r>
          </w:p>
        </w:tc>
        <w:tc>
          <w:tcPr>
            <w:tcW w:w="460" w:type="dxa"/>
            <w:vAlign w:val="bottom"/>
          </w:tcPr>
          <w:p>
            <w:pPr>
              <w:spacing w:after="0"/>
              <w:rPr>
                <w:sz w:val="14"/>
                <w:szCs w:val="14"/>
                <w:color w:val="auto"/>
              </w:rPr>
            </w:pPr>
          </w:p>
        </w:tc>
        <w:tc>
          <w:tcPr>
            <w:tcW w:w="126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139,696</w:t>
            </w:r>
          </w:p>
        </w:tc>
        <w:tc>
          <w:tcPr>
            <w:tcW w:w="240" w:type="dxa"/>
            <w:vAlign w:val="bottom"/>
          </w:tcPr>
          <w:p>
            <w:pPr>
              <w:spacing w:after="0"/>
              <w:rPr>
                <w:sz w:val="14"/>
                <w:szCs w:val="14"/>
                <w:color w:val="auto"/>
              </w:rPr>
            </w:pPr>
          </w:p>
        </w:tc>
        <w:tc>
          <w:tcPr>
            <w:tcW w:w="172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(7.3) %</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150,651</w:t>
            </w:r>
          </w:p>
        </w:tc>
        <w:tc>
          <w:tcPr>
            <w:tcW w:w="0" w:type="dxa"/>
            <w:vAlign w:val="bottom"/>
          </w:tcPr>
          <w:p>
            <w:pPr>
              <w:spacing w:after="0"/>
              <w:rPr>
                <w:sz w:val="1"/>
                <w:szCs w:val="1"/>
                <w:color w:val="auto"/>
              </w:rPr>
            </w:pPr>
          </w:p>
        </w:tc>
      </w:tr>
      <w:tr>
        <w:trPr>
          <w:trHeight w:val="186"/>
        </w:trPr>
        <w:tc>
          <w:tcPr>
            <w:tcW w:w="55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6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b w:val="1"/>
                <w:bCs w:val="1"/>
                <w:color w:val="auto"/>
              </w:rPr>
              <w:t>Total Operating Costs and Expense</w:t>
            </w:r>
          </w:p>
        </w:tc>
        <w:tc>
          <w:tcPr>
            <w:tcW w:w="460" w:type="dxa"/>
            <w:vAlign w:val="bottom"/>
          </w:tcPr>
          <w:p>
            <w:pPr>
              <w:spacing w:after="0"/>
              <w:rPr>
                <w:sz w:val="16"/>
                <w:szCs w:val="16"/>
                <w:color w:val="auto"/>
              </w:rPr>
            </w:pPr>
          </w:p>
        </w:tc>
        <w:tc>
          <w:tcPr>
            <w:tcW w:w="12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147,766</w:t>
            </w:r>
          </w:p>
        </w:tc>
        <w:tc>
          <w:tcPr>
            <w:tcW w:w="240" w:type="dxa"/>
            <w:vAlign w:val="bottom"/>
          </w:tcPr>
          <w:p>
            <w:pPr>
              <w:spacing w:after="0"/>
              <w:rPr>
                <w:sz w:val="16"/>
                <w:szCs w:val="16"/>
                <w:color w:val="auto"/>
              </w:rPr>
            </w:pPr>
          </w:p>
        </w:tc>
        <w:tc>
          <w:tcPr>
            <w:tcW w:w="17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(7.4) %</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159,638</w:t>
            </w:r>
          </w:p>
        </w:tc>
        <w:tc>
          <w:tcPr>
            <w:tcW w:w="0" w:type="dxa"/>
            <w:vAlign w:val="bottom"/>
          </w:tcPr>
          <w:p>
            <w:pPr>
              <w:spacing w:after="0"/>
              <w:rPr>
                <w:sz w:val="1"/>
                <w:szCs w:val="1"/>
                <w:color w:val="auto"/>
              </w:rPr>
            </w:pPr>
          </w:p>
        </w:tc>
      </w:tr>
      <w:tr>
        <w:trPr>
          <w:trHeight w:val="205"/>
        </w:trPr>
        <w:tc>
          <w:tcPr>
            <w:tcW w:w="55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560" w:type="dxa"/>
            <w:vAlign w:val="bottom"/>
          </w:tcPr>
          <w:p>
            <w:pPr>
              <w:ind w:left="320"/>
              <w:spacing w:after="0" w:line="172" w:lineRule="exact"/>
              <w:rPr>
                <w:sz w:val="20"/>
                <w:szCs w:val="20"/>
                <w:color w:val="auto"/>
              </w:rPr>
            </w:pPr>
            <w:r>
              <w:rPr>
                <w:rFonts w:ascii="Times New Roman" w:cs="Times New Roman" w:eastAsia="Times New Roman" w:hAnsi="Times New Roman"/>
                <w:sz w:val="18"/>
                <w:szCs w:val="18"/>
                <w:b w:val="1"/>
                <w:bCs w:val="1"/>
                <w:color w:val="auto"/>
              </w:rPr>
              <w:t>Operating Loss</w:t>
            </w:r>
          </w:p>
        </w:tc>
        <w:tc>
          <w:tcPr>
            <w:tcW w:w="460" w:type="dxa"/>
            <w:vAlign w:val="bottom"/>
            <w:tcBorders>
              <w:bottom w:val="single" w:sz="8" w:color="auto"/>
            </w:tcBorders>
          </w:tcPr>
          <w:p>
            <w:pPr>
              <w:jc w:val="right"/>
              <w:ind w:right="297"/>
              <w:spacing w:after="0" w:line="172"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b w:val="1"/>
                <w:bCs w:val="1"/>
                <w:color w:val="auto"/>
              </w:rPr>
              <w:t>(8,070)</w:t>
            </w:r>
          </w:p>
        </w:tc>
        <w:tc>
          <w:tcPr>
            <w:tcW w:w="240" w:type="dxa"/>
            <w:vAlign w:val="bottom"/>
          </w:tcPr>
          <w:p>
            <w:pPr>
              <w:spacing w:after="0"/>
              <w:rPr>
                <w:sz w:val="14"/>
                <w:szCs w:val="14"/>
                <w:color w:val="auto"/>
              </w:rPr>
            </w:pPr>
          </w:p>
        </w:tc>
        <w:tc>
          <w:tcPr>
            <w:tcW w:w="172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b w:val="1"/>
                <w:bCs w:val="1"/>
                <w:color w:val="auto"/>
              </w:rPr>
              <w:t>10.2 %</w:t>
            </w:r>
          </w:p>
        </w:tc>
        <w:tc>
          <w:tcPr>
            <w:tcW w:w="240" w:type="dxa"/>
            <w:vAlign w:val="bottom"/>
          </w:tcPr>
          <w:p>
            <w:pPr>
              <w:spacing w:after="0"/>
              <w:rPr>
                <w:sz w:val="14"/>
                <w:szCs w:val="14"/>
                <w:color w:val="auto"/>
              </w:rPr>
            </w:pPr>
          </w:p>
        </w:tc>
        <w:tc>
          <w:tcPr>
            <w:tcW w:w="420" w:type="dxa"/>
            <w:vAlign w:val="bottom"/>
            <w:tcBorders>
              <w:bottom w:val="single" w:sz="8" w:color="auto"/>
            </w:tcBorders>
          </w:tcPr>
          <w:p>
            <w:pPr>
              <w:jc w:val="right"/>
              <w:ind w:right="257"/>
              <w:spacing w:after="0" w:line="172"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b w:val="1"/>
                <w:bCs w:val="1"/>
                <w:color w:val="auto"/>
              </w:rPr>
              <w:t>(8,987)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Traditionally, the Company’s primary revenues are generated from advertising within its core newspaper, related websites, and from subscription and single copy sales of its printed newspaper. As a result of competitive and economic conditions, the newspaper industry has faced a significant revenue decline over the past decade. Therefore, the Company has sought to diversify its revenues through development and investment in new product offerings, increased circulation rates and leveraging of its existing assets to offer cost efficient commercial printing and distribution services. The Company continually evaluates the overall performance of its core products to ensure existing assets are deployed adequately to maximize return.</w:t>
      </w:r>
    </w:p>
    <w:p>
      <w:pPr>
        <w:spacing w:after="0" w:line="15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Company’s advertising revenue from its core newspaper continues to be adversely affected by the shift of advertiser spending to other forms of media and the increased accessibility of free online news content, as well as news content from other sources, which resulted in declines in advertising and paid print circulation volumes and revenue. Decreases in print advertising categories are indicative of continuing trends by advertisers towards digital platforms, which are widely available from many sources. In the current environment, companies are allocating more of their advertising spending towards programmatic channels that provide digital advertising on multiple platforms with enhanced technology for targeted delivery and measurement. In addition, preprint advertising continues to experience a secular decline across the industry and may eventually become obsolete. In the third quarter of 2023, the Company made the strategic decision to exit its shared mail program to deliver weekly preprints and inserts.</w:t>
      </w:r>
    </w:p>
    <w:p>
      <w:pPr>
        <w:spacing w:after="0" w:line="153"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8"/>
          <w:szCs w:val="18"/>
          <w:color w:val="auto"/>
        </w:rPr>
        <w:t>In response to the decline in print revenue, the Company built agency capabilities, including strategy, creative and media management with a focus on strategic and digital marketing, and data intelligence that provide a measurable return on investment to its clients. The Company leverages its news content to improve engagement on the Company’s digital platforms that results in increased digital subscriptions and associated revenue. The Company also continues to diversify its revenue base by leveraging the available capacity of its existing assets to provide print and distribution services for newspapers and other customers requiring these services, by introducing new advertising and marketing services products, and by increasing circulation prices.</w:t>
      </w:r>
    </w:p>
    <w:p>
      <w:pPr>
        <w:spacing w:after="0" w:line="15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Because of declining print circulation, the Company has developed broad digital strategies designed to provide readers with multiple platforms for obtaining online access to local news. The Company continues to obtain additional key demographic data from readers, which allows the Company to provide content desired by readers and to modify marketing and distribution strategies to target and reach audiences valued by advertisers. The Company has access to programmatic digital advertising platforms that provide digital ad placement and targeting efficiencies and increases utilization of digital inventory within the Company’s websites. Additionally, in order to optimize owned and operated digital advertising revenue, the Company has adopted a holistic yield management approach powered by real-time bidding technologies and data analysis to ensure the optimal mix of direct sales and programmatic ad sales is achieved.</w:t>
      </w: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6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marketing services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and marketing services revenue was 42.2 percent and 46.2 percent of total revenue for 2023 and 2022, respectively.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2060" w:type="dxa"/>
            <w:vAlign w:val="bottom"/>
            <w:tcBorders>
              <w:top w:val="single" w:sz="8" w:color="auto"/>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w w:val="99"/>
              </w:rPr>
              <w:t>Years Ended December 31,</w:t>
            </w:r>
          </w:p>
        </w:tc>
        <w:tc>
          <w:tcPr>
            <w:tcW w:w="4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20" w:type="dxa"/>
            <w:vAlign w:val="bottom"/>
            <w:vMerge w:val="restart"/>
          </w:tcPr>
          <w:p>
            <w:pPr>
              <w:jc w:val="right"/>
              <w:ind w:right="556"/>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260" w:type="dxa"/>
            <w:vAlign w:val="bottom"/>
          </w:tcPr>
          <w:p>
            <w:pPr>
              <w:spacing w:after="0"/>
              <w:rPr>
                <w:sz w:val="10"/>
                <w:szCs w:val="10"/>
                <w:color w:val="auto"/>
              </w:rPr>
            </w:pPr>
          </w:p>
        </w:tc>
        <w:tc>
          <w:tcPr>
            <w:tcW w:w="206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4"/>
                <w:szCs w:val="14"/>
                <w:b w:val="1"/>
                <w:bCs w:val="1"/>
                <w:i w:val="1"/>
                <w:iCs w:val="1"/>
                <w:color w:val="auto"/>
              </w:rPr>
              <w:t>Percentage</w:t>
            </w:r>
          </w:p>
        </w:tc>
        <w:tc>
          <w:tcPr>
            <w:tcW w:w="440" w:type="dxa"/>
            <w:vAlign w:val="bottom"/>
          </w:tcPr>
          <w:p>
            <w:pPr>
              <w:spacing w:after="0"/>
              <w:rPr>
                <w:sz w:val="10"/>
                <w:szCs w:val="10"/>
                <w:color w:val="auto"/>
              </w:rPr>
            </w:pPr>
          </w:p>
        </w:tc>
        <w:tc>
          <w:tcPr>
            <w:tcW w:w="1420" w:type="dxa"/>
            <w:vAlign w:val="bottom"/>
            <w:vMerge w:val="restart"/>
          </w:tcPr>
          <w:p>
            <w:pPr>
              <w:jc w:val="right"/>
              <w:ind w:right="696"/>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0" w:type="dxa"/>
            <w:vAlign w:val="bottom"/>
          </w:tcPr>
          <w:p>
            <w:pPr>
              <w:spacing w:after="0"/>
              <w:rPr>
                <w:sz w:val="1"/>
                <w:szCs w:val="1"/>
                <w:color w:val="auto"/>
              </w:rPr>
            </w:pPr>
          </w:p>
        </w:tc>
      </w:tr>
      <w:tr>
        <w:trPr>
          <w:trHeight w:val="190"/>
        </w:trPr>
        <w:tc>
          <w:tcPr>
            <w:tcW w:w="5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Change‎</w:t>
            </w:r>
          </w:p>
        </w:tc>
        <w:tc>
          <w:tcPr>
            <w:tcW w:w="4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260" w:type="dxa"/>
            <w:vAlign w:val="bottom"/>
            <w:tcBorders>
              <w:top w:val="single" w:sz="8" w:color="auto"/>
            </w:tcBorders>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Print advertising</w:t>
            </w:r>
          </w:p>
        </w:tc>
        <w:tc>
          <w:tcPr>
            <w:tcW w:w="480" w:type="dxa"/>
            <w:vAlign w:val="bottom"/>
            <w:tcBorders>
              <w:top w:val="single" w:sz="8" w:color="auto"/>
            </w:tcBorders>
            <w:shd w:val="clear" w:color="auto" w:fill="CCEEFF"/>
          </w:tcPr>
          <w:p>
            <w:pPr>
              <w:jc w:val="right"/>
              <w:ind w:right="317"/>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35,045</w:t>
            </w:r>
          </w:p>
        </w:tc>
        <w:tc>
          <w:tcPr>
            <w:tcW w:w="26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(21.8) %</w:t>
            </w:r>
          </w:p>
        </w:tc>
        <w:tc>
          <w:tcPr>
            <w:tcW w:w="2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52"/>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44,802</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ind w:left="100"/>
              <w:spacing w:after="0" w:line="186" w:lineRule="exact"/>
              <w:rPr>
                <w:sz w:val="20"/>
                <w:szCs w:val="20"/>
                <w:color w:val="auto"/>
              </w:rPr>
            </w:pPr>
            <w:r>
              <w:rPr>
                <w:rFonts w:ascii="Times New Roman" w:cs="Times New Roman" w:eastAsia="Times New Roman" w:hAnsi="Times New Roman"/>
                <w:sz w:val="18"/>
                <w:szCs w:val="18"/>
                <w:color w:val="auto"/>
              </w:rPr>
              <w:t>Digital advertising and marketing services</w:t>
            </w: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23,993</w:t>
            </w:r>
          </w:p>
        </w:tc>
        <w:tc>
          <w:tcPr>
            <w:tcW w:w="2080" w:type="dxa"/>
            <w:vAlign w:val="bottom"/>
            <w:tcBorders>
              <w:bottom w:val="single" w:sz="8" w:color="CCEEFF"/>
            </w:tcBorders>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auto"/>
              </w:rPr>
              <w:t>(3.5) %</w:t>
            </w:r>
          </w:p>
        </w:tc>
        <w:tc>
          <w:tcPr>
            <w:tcW w:w="2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24,865</w:t>
            </w:r>
          </w:p>
        </w:tc>
        <w:tc>
          <w:tcPr>
            <w:tcW w:w="0" w:type="dxa"/>
            <w:vAlign w:val="bottom"/>
          </w:tcPr>
          <w:p>
            <w:pPr>
              <w:spacing w:after="0"/>
              <w:rPr>
                <w:sz w:val="1"/>
                <w:szCs w:val="1"/>
                <w:color w:val="auto"/>
              </w:rPr>
            </w:pPr>
          </w:p>
        </w:tc>
      </w:tr>
      <w:tr>
        <w:trPr>
          <w:trHeight w:val="185"/>
        </w:trPr>
        <w:tc>
          <w:tcPr>
            <w:tcW w:w="5260" w:type="dxa"/>
            <w:vAlign w:val="bottom"/>
            <w:tcBorders>
              <w:bottom w:val="single" w:sz="8" w:color="CCEEFF"/>
            </w:tcBorders>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b w:val="1"/>
                <w:bCs w:val="1"/>
                <w:color w:val="auto"/>
              </w:rPr>
              <w:t>Advertising and Marketing Services</w:t>
            </w:r>
          </w:p>
        </w:tc>
        <w:tc>
          <w:tcPr>
            <w:tcW w:w="480" w:type="dxa"/>
            <w:vAlign w:val="bottom"/>
            <w:tcBorders>
              <w:bottom w:val="single" w:sz="8" w:color="auto"/>
            </w:tcBorders>
            <w:shd w:val="clear" w:color="auto" w:fill="CCEEFF"/>
          </w:tcPr>
          <w:p>
            <w:pPr>
              <w:jc w:val="right"/>
              <w:ind w:right="317"/>
              <w:spacing w:after="0" w:line="185"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59,038</w:t>
            </w:r>
          </w:p>
        </w:tc>
        <w:tc>
          <w:tcPr>
            <w:tcW w:w="2080" w:type="dxa"/>
            <w:vAlign w:val="bottom"/>
            <w:tcBorders>
              <w:bottom w:val="single" w:sz="8" w:color="CCEEFF"/>
            </w:tcBorders>
            <w:gridSpan w:val="2"/>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(15.3) %</w:t>
            </w: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52"/>
              <w:spacing w:after="0" w:line="18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69,667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 advertising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advertising is primarily comprised of display and classified advertising revenue.</w:t>
      </w:r>
    </w:p>
    <w:p>
      <w:pPr>
        <w:spacing w:after="0" w:line="17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Display and classified print revenue primarily represents sales of advertising space within the Company’s core newspaper. As advertisers continue to diversify marketing budgets to incorporate more and varied avenues of reaching consumers, traditional display and classified advertising continues to be impacted. In 2023, display and classified print advertising revenue decreased $987, primarily due to a volume decrease in display advertisements related to the discontinuation of the Company’s niche publications.</w:t>
      </w:r>
    </w:p>
    <w:p>
      <w:pPr>
        <w:spacing w:after="0" w:line="15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 xml:space="preserve">Preprint revenue primarily reflects preprinted advertisements inserted into the Company’s core newspaper. While most print advertising streams have softened, preprint advertising continues to experience a much greater secular decline across the industry and may eventually become obsolete. In 2023, revenue decreased $8,770, primarily due to the Company not renewing the contract that allowed it to distribute preprinted advertisements through the mail or through third-party distributors to households in targeted areas. This program ended August 31, 2023, and was forecasted to generate approximately $1,000 a month in revenue in 2023, although that has been declining as advertisers move away from coupon inserts. As a result of the end of the distribution agreement whose weekly shared mail coupons and home delivery inserts supported the Company’s niche publications, the Company decided to stop print-only editions of its niche publications, </w:t>
      </w:r>
      <w:r>
        <w:rPr>
          <w:rFonts w:ascii="Times New Roman" w:cs="Times New Roman" w:eastAsia="Times New Roman" w:hAnsi="Times New Roman"/>
          <w:sz w:val="18"/>
          <w:szCs w:val="18"/>
          <w:i w:val="1"/>
          <w:iCs w:val="1"/>
          <w:color w:val="auto"/>
        </w:rPr>
        <w:t>Al Dia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Briefing</w:t>
      </w:r>
      <w:r>
        <w:rPr>
          <w:rFonts w:ascii="Times New Roman" w:cs="Times New Roman" w:eastAsia="Times New Roman" w:hAnsi="Times New Roman"/>
          <w:sz w:val="18"/>
          <w:szCs w:val="18"/>
          <w:color w:val="auto"/>
        </w:rPr>
        <w:t xml:space="preserve"> after August 30, 2023. </w:t>
      </w:r>
      <w:r>
        <w:rPr>
          <w:rFonts w:ascii="Times New Roman" w:cs="Times New Roman" w:eastAsia="Times New Roman" w:hAnsi="Times New Roman"/>
          <w:sz w:val="18"/>
          <w:szCs w:val="18"/>
          <w:i w:val="1"/>
          <w:iCs w:val="1"/>
          <w:color w:val="auto"/>
        </w:rPr>
        <w:t>Al Dia</w:t>
      </w:r>
      <w:r>
        <w:rPr>
          <w:rFonts w:ascii="Times New Roman" w:cs="Times New Roman" w:eastAsia="Times New Roman" w:hAnsi="Times New Roman"/>
          <w:sz w:val="18"/>
          <w:szCs w:val="18"/>
          <w:color w:val="auto"/>
        </w:rPr>
        <w:t xml:space="preserve"> continues as a digital-only product that publishes online daily, as news develops, and in a weekly ePaper edition available online. </w:t>
      </w:r>
      <w:r>
        <w:rPr>
          <w:rFonts w:ascii="Times New Roman" w:cs="Times New Roman" w:eastAsia="Times New Roman" w:hAnsi="Times New Roman"/>
          <w:sz w:val="18"/>
          <w:szCs w:val="18"/>
          <w:i w:val="1"/>
          <w:iCs w:val="1"/>
          <w:color w:val="auto"/>
        </w:rPr>
        <w:t>Briefing</w:t>
      </w:r>
      <w:r>
        <w:rPr>
          <w:rFonts w:ascii="Times New Roman" w:cs="Times New Roman" w:eastAsia="Times New Roman" w:hAnsi="Times New Roman"/>
          <w:sz w:val="18"/>
          <w:szCs w:val="18"/>
          <w:color w:val="auto"/>
        </w:rPr>
        <w:t xml:space="preserve"> was discontinued as a weekly newspaper, and the brand was retired.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advertising and marketing services</w:t>
      </w:r>
    </w:p>
    <w:p>
      <w:pPr>
        <w:spacing w:after="0" w:line="17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Digital advertising and marketing services revenue consists of strategic marketing services, consulting, branding, paid media strategy and management, creative services, search optimization, direct mail, the sale of promotional materials, and subscriptions to the Company’s multi-channel marketing solutions cloud-based software and services. In addition, it includes digital sales of banner, classified and native advertisements on the Company’s news websites, social media platforms and mobile apps, as well as targeted and multi-channel (programmatic) advertising placed on third-party platforms. In 2023, revenue decreased $872 due to a decline in marketing services revenue resulting from some contracts ending, partially offset by an increase in digital advertising on </w:t>
      </w:r>
      <w:r>
        <w:rPr>
          <w:rFonts w:ascii="Times New Roman" w:cs="Times New Roman" w:eastAsia="Times New Roman" w:hAnsi="Times New Roman"/>
          <w:sz w:val="18"/>
          <w:szCs w:val="18"/>
          <w:i w:val="1"/>
          <w:iCs w:val="1"/>
          <w:u w:val="single" w:color="auto"/>
          <w:color w:val="auto"/>
        </w:rPr>
        <w:t>dallasnews.com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the Company’s digital replica.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Circulation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Circulation revenue was 46.8 percent and 43.3 percent of total revenue for 2023 and 2022, respectively.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2060" w:type="dxa"/>
            <w:vAlign w:val="bottom"/>
            <w:tcBorders>
              <w:top w:val="single" w:sz="8" w:color="auto"/>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w w:val="99"/>
              </w:rPr>
              <w:t>Years Ended December 31,</w:t>
            </w:r>
          </w:p>
        </w:tc>
        <w:tc>
          <w:tcPr>
            <w:tcW w:w="4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26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Percentage</w:t>
            </w:r>
          </w:p>
        </w:tc>
        <w:tc>
          <w:tcPr>
            <w:tcW w:w="440" w:type="dxa"/>
            <w:vAlign w:val="bottom"/>
          </w:tcPr>
          <w:p>
            <w:pPr>
              <w:spacing w:after="0"/>
              <w:rPr>
                <w:sz w:val="11"/>
                <w:szCs w:val="11"/>
                <w:color w:val="auto"/>
              </w:rPr>
            </w:pPr>
          </w:p>
        </w:tc>
        <w:tc>
          <w:tcPr>
            <w:tcW w:w="1420" w:type="dxa"/>
            <w:vAlign w:val="bottom"/>
            <w:vMerge w:val="restart"/>
          </w:tcPr>
          <w:p>
            <w:pPr>
              <w:jc w:val="right"/>
              <w:ind w:right="696"/>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0" w:type="dxa"/>
            <w:vAlign w:val="bottom"/>
          </w:tcPr>
          <w:p>
            <w:pPr>
              <w:spacing w:after="0"/>
              <w:rPr>
                <w:sz w:val="1"/>
                <w:szCs w:val="1"/>
                <w:color w:val="auto"/>
              </w:rPr>
            </w:pPr>
          </w:p>
        </w:tc>
      </w:tr>
      <w:tr>
        <w:trPr>
          <w:trHeight w:val="177"/>
        </w:trPr>
        <w:tc>
          <w:tcPr>
            <w:tcW w:w="52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Change‎</w:t>
            </w:r>
          </w:p>
        </w:tc>
        <w:tc>
          <w:tcPr>
            <w:tcW w:w="4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260" w:type="dxa"/>
            <w:vAlign w:val="bottom"/>
            <w:tcBorders>
              <w:top w:val="single" w:sz="8" w:color="auto"/>
            </w:tcBorders>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Print circulation</w:t>
            </w:r>
          </w:p>
        </w:tc>
        <w:tc>
          <w:tcPr>
            <w:tcW w:w="1220" w:type="dxa"/>
            <w:vAlign w:val="bottom"/>
            <w:tcBorders>
              <w:top w:val="single" w:sz="8" w:color="auto"/>
            </w:tcBorders>
            <w:shd w:val="clear" w:color="auto" w:fill="CCEEFF"/>
          </w:tcPr>
          <w:p>
            <w:pPr>
              <w:jc w:val="right"/>
              <w:ind w:right="1061"/>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49,034</w:t>
            </w:r>
          </w:p>
        </w:tc>
        <w:tc>
          <w:tcPr>
            <w:tcW w:w="26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(5.8) %</w:t>
            </w:r>
          </w:p>
        </w:tc>
        <w:tc>
          <w:tcPr>
            <w:tcW w:w="2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52"/>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52,045</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ind w:left="100"/>
              <w:spacing w:after="0" w:line="186" w:lineRule="exact"/>
              <w:rPr>
                <w:sz w:val="20"/>
                <w:szCs w:val="20"/>
                <w:color w:val="auto"/>
              </w:rPr>
            </w:pPr>
            <w:r>
              <w:rPr>
                <w:rFonts w:ascii="Times New Roman" w:cs="Times New Roman" w:eastAsia="Times New Roman" w:hAnsi="Times New Roman"/>
                <w:sz w:val="18"/>
                <w:szCs w:val="18"/>
                <w:color w:val="auto"/>
              </w:rPr>
              <w:t>Digital circulation</w:t>
            </w:r>
          </w:p>
        </w:tc>
        <w:tc>
          <w:tcPr>
            <w:tcW w:w="1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16,315</w:t>
            </w:r>
          </w:p>
        </w:tc>
        <w:tc>
          <w:tcPr>
            <w:tcW w:w="2080" w:type="dxa"/>
            <w:vAlign w:val="bottom"/>
            <w:tcBorders>
              <w:bottom w:val="single" w:sz="8" w:color="CCEEFF"/>
            </w:tcBorders>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auto"/>
              </w:rPr>
              <w:t>24.1  %</w:t>
            </w:r>
          </w:p>
        </w:tc>
        <w:tc>
          <w:tcPr>
            <w:tcW w:w="2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13,146</w:t>
            </w:r>
          </w:p>
        </w:tc>
        <w:tc>
          <w:tcPr>
            <w:tcW w:w="0" w:type="dxa"/>
            <w:vAlign w:val="bottom"/>
          </w:tcPr>
          <w:p>
            <w:pPr>
              <w:spacing w:after="0"/>
              <w:rPr>
                <w:sz w:val="1"/>
                <w:szCs w:val="1"/>
                <w:color w:val="auto"/>
              </w:rPr>
            </w:pPr>
          </w:p>
        </w:tc>
      </w:tr>
      <w:tr>
        <w:trPr>
          <w:trHeight w:val="185"/>
        </w:trPr>
        <w:tc>
          <w:tcPr>
            <w:tcW w:w="5260" w:type="dxa"/>
            <w:vAlign w:val="bottom"/>
            <w:tcBorders>
              <w:bottom w:val="single" w:sz="8" w:color="CCEEFF"/>
            </w:tcBorders>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b w:val="1"/>
                <w:bCs w:val="1"/>
                <w:color w:val="auto"/>
              </w:rPr>
              <w:t>Circulation</w:t>
            </w:r>
          </w:p>
        </w:tc>
        <w:tc>
          <w:tcPr>
            <w:tcW w:w="1220" w:type="dxa"/>
            <w:vAlign w:val="bottom"/>
            <w:tcBorders>
              <w:bottom w:val="single" w:sz="8" w:color="auto"/>
            </w:tcBorders>
            <w:shd w:val="clear" w:color="auto" w:fill="CCEEFF"/>
          </w:tcPr>
          <w:p>
            <w:pPr>
              <w:jc w:val="right"/>
              <w:ind w:right="1061"/>
              <w:spacing w:after="0" w:line="185"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65,349</w:t>
            </w:r>
          </w:p>
        </w:tc>
        <w:tc>
          <w:tcPr>
            <w:tcW w:w="2080" w:type="dxa"/>
            <w:vAlign w:val="bottom"/>
            <w:tcBorders>
              <w:bottom w:val="single" w:sz="8" w:color="CCEEFF"/>
            </w:tcBorders>
            <w:gridSpan w:val="2"/>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0.2 %</w:t>
            </w: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52"/>
              <w:spacing w:after="0" w:line="18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65,191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 circulation</w:t>
      </w:r>
    </w:p>
    <w:p>
      <w:pPr>
        <w:spacing w:after="0" w:line="1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Revenue decreased in 2023, primarily driven by a decline in print subscriptions of 8,879 or 11.3 percent when compared to December 31, 2022, partially offset by rates increasing approximately 5.5 percent. In 2023, home delivery revenue declined $2,646 or 5.5 percent and single copy revenue declined $365 or 8.7 percent in 2023. In the fourth quarter, additional single copy revenue was generated from sales of the commemorative editions of </w:t>
      </w:r>
      <w:r>
        <w:rPr>
          <w:rFonts w:ascii="Times New Roman" w:cs="Times New Roman" w:eastAsia="Times New Roman" w:hAnsi="Times New Roman"/>
          <w:sz w:val="18"/>
          <w:szCs w:val="18"/>
          <w:i w:val="1"/>
          <w:iCs w:val="1"/>
          <w:color w:val="auto"/>
        </w:rPr>
        <w:t xml:space="preserve">The Dallas Morning News </w:t>
      </w:r>
      <w:r>
        <w:rPr>
          <w:rFonts w:ascii="Times New Roman" w:cs="Times New Roman" w:eastAsia="Times New Roman" w:hAnsi="Times New Roman"/>
          <w:sz w:val="18"/>
          <w:szCs w:val="18"/>
          <w:color w:val="auto"/>
        </w:rPr>
        <w:t>published with three different front pages after the Texas Rangers’ first World Series win.</w:t>
      </w:r>
    </w:p>
    <w:p>
      <w:pPr>
        <w:spacing w:after="0" w:line="200" w:lineRule="exact"/>
        <w:rPr>
          <w:sz w:val="20"/>
          <w:szCs w:val="20"/>
          <w:color w:val="auto"/>
        </w:rPr>
      </w:pPr>
    </w:p>
    <w:p>
      <w:pPr>
        <w:spacing w:after="0" w:line="256" w:lineRule="exact"/>
        <w:rPr>
          <w:sz w:val="20"/>
          <w:szCs w:val="20"/>
          <w:color w:val="auto"/>
        </w:rPr>
      </w:pPr>
    </w:p>
    <w:p>
      <w:pPr>
        <w:jc w:val="right"/>
        <w:spacing w:after="0"/>
        <w:tabs>
          <w:tab w:leader="none" w:pos="6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circulation</w:t>
      </w:r>
    </w:p>
    <w:p>
      <w:pPr>
        <w:spacing w:after="0" w:line="1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Revenue increased $3,169 or 24.1 percent in 2023. The Company ended 2023 with 63,000 digital-only subscriptions, a decrease of 5,010 or 7.4 percent when compared to 68,010 at the end of 2022, primarily due to a change in strategy from volume to pricing. The Company reduced its introductory offer in the third quarter from three months to one month. This change is improving the revenue trajectory from digital subscriptions but will negatively impact volume in the short term.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Printing, distribution and other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Printing, distribution and other revenue was 11.0 percent and 10.5 percent of total revenue for 2023 and 2022, respectively.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2060" w:type="dxa"/>
            <w:vAlign w:val="bottom"/>
            <w:tcBorders>
              <w:top w:val="single" w:sz="8" w:color="auto"/>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w w:val="99"/>
              </w:rPr>
              <w:t>Years Ended December 31,</w:t>
            </w:r>
          </w:p>
        </w:tc>
        <w:tc>
          <w:tcPr>
            <w:tcW w:w="4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20" w:type="dxa"/>
            <w:vAlign w:val="bottom"/>
            <w:vMerge w:val="restart"/>
          </w:tcPr>
          <w:p>
            <w:pPr>
              <w:jc w:val="right"/>
              <w:ind w:right="561"/>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260" w:type="dxa"/>
            <w:vAlign w:val="bottom"/>
          </w:tcPr>
          <w:p>
            <w:pPr>
              <w:spacing w:after="0"/>
              <w:rPr>
                <w:sz w:val="10"/>
                <w:szCs w:val="10"/>
                <w:color w:val="auto"/>
              </w:rPr>
            </w:pPr>
          </w:p>
        </w:tc>
        <w:tc>
          <w:tcPr>
            <w:tcW w:w="206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4"/>
                <w:szCs w:val="14"/>
                <w:b w:val="1"/>
                <w:bCs w:val="1"/>
                <w:i w:val="1"/>
                <w:iCs w:val="1"/>
                <w:color w:val="auto"/>
              </w:rPr>
              <w:t>Percentage</w:t>
            </w:r>
          </w:p>
        </w:tc>
        <w:tc>
          <w:tcPr>
            <w:tcW w:w="440" w:type="dxa"/>
            <w:vAlign w:val="bottom"/>
          </w:tcPr>
          <w:p>
            <w:pPr>
              <w:spacing w:after="0"/>
              <w:rPr>
                <w:sz w:val="10"/>
                <w:szCs w:val="10"/>
                <w:color w:val="auto"/>
              </w:rPr>
            </w:pPr>
          </w:p>
        </w:tc>
        <w:tc>
          <w:tcPr>
            <w:tcW w:w="1420" w:type="dxa"/>
            <w:vAlign w:val="bottom"/>
            <w:vMerge w:val="restart"/>
          </w:tcPr>
          <w:p>
            <w:pPr>
              <w:jc w:val="right"/>
              <w:ind w:right="701"/>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0" w:type="dxa"/>
            <w:vAlign w:val="bottom"/>
          </w:tcPr>
          <w:p>
            <w:pPr>
              <w:spacing w:after="0"/>
              <w:rPr>
                <w:sz w:val="1"/>
                <w:szCs w:val="1"/>
                <w:color w:val="auto"/>
              </w:rPr>
            </w:pPr>
          </w:p>
        </w:tc>
      </w:tr>
      <w:tr>
        <w:trPr>
          <w:trHeight w:val="190"/>
        </w:trPr>
        <w:tc>
          <w:tcPr>
            <w:tcW w:w="5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Change‎</w:t>
            </w:r>
          </w:p>
        </w:tc>
        <w:tc>
          <w:tcPr>
            <w:tcW w:w="4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60" w:type="dxa"/>
            <w:vAlign w:val="bottom"/>
            <w:tcBorders>
              <w:top w:val="single" w:sz="8" w:color="auto"/>
              <w:bottom w:val="single" w:sz="8" w:color="CCEEFF"/>
            </w:tcBorders>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b w:val="1"/>
                <w:bCs w:val="1"/>
                <w:color w:val="auto"/>
              </w:rPr>
              <w:t>Printing, Distribution and Other</w:t>
            </w:r>
          </w:p>
        </w:tc>
        <w:tc>
          <w:tcPr>
            <w:tcW w:w="480" w:type="dxa"/>
            <w:vAlign w:val="bottom"/>
            <w:tcBorders>
              <w:top w:val="single" w:sz="8" w:color="auto"/>
              <w:bottom w:val="single" w:sz="8" w:color="auto"/>
            </w:tcBorders>
            <w:shd w:val="clear" w:color="auto" w:fill="CCEEFF"/>
          </w:tcPr>
          <w:p>
            <w:pPr>
              <w:jc w:val="right"/>
              <w:ind w:right="317"/>
              <w:spacing w:after="0" w:line="185"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15,309</w:t>
            </w: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820" w:type="dxa"/>
            <w:vAlign w:val="bottom"/>
            <w:tcBorders>
              <w:top w:val="single" w:sz="8" w:color="auto"/>
              <w:bottom w:val="single" w:sz="8" w:color="CCEEFF"/>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(3.1) %</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52"/>
              <w:spacing w:after="0" w:line="18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15,793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Revenue decreased in 2023, primarily due to declines in revenue from commercial printing and third-party distribution, partially offset by additional fourth quarter revenue from sales of front page replica posters and a commemorative book produced by the Company that chronicles the Texas Rangers’ winning season.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components of the Company’s operating costs and expense.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1800" w:type="dxa"/>
            <w:vAlign w:val="bottom"/>
            <w:tcBorders>
              <w:top w:val="single" w:sz="8" w:color="auto"/>
              <w:bottom w:val="single" w:sz="8" w:color="auto"/>
            </w:tcBorders>
            <w:gridSpan w:val="2"/>
          </w:tcPr>
          <w:p>
            <w:pPr>
              <w:jc w:val="center"/>
              <w:ind w:left="114"/>
              <w:spacing w:after="0"/>
              <w:rPr>
                <w:sz w:val="20"/>
                <w:szCs w:val="20"/>
                <w:color w:val="auto"/>
              </w:rPr>
            </w:pPr>
            <w:r>
              <w:rPr>
                <w:rFonts w:ascii="Times New Roman" w:cs="Times New Roman" w:eastAsia="Times New Roman" w:hAnsi="Times New Roman"/>
                <w:sz w:val="14"/>
                <w:szCs w:val="14"/>
                <w:b w:val="1"/>
                <w:bCs w:val="1"/>
                <w:i w:val="1"/>
                <w:iCs w:val="1"/>
                <w:color w:val="auto"/>
                <w:w w:val="99"/>
              </w:rPr>
              <w:t>Years Ended December 31,</w:t>
            </w:r>
          </w:p>
        </w:tc>
        <w:tc>
          <w:tcPr>
            <w:tcW w:w="2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40" w:type="dxa"/>
            <w:vAlign w:val="bottom"/>
          </w:tcPr>
          <w:p>
            <w:pPr>
              <w:spacing w:after="0"/>
              <w:rPr>
                <w:sz w:val="11"/>
                <w:szCs w:val="11"/>
                <w:color w:val="auto"/>
              </w:rPr>
            </w:pPr>
          </w:p>
        </w:tc>
        <w:tc>
          <w:tcPr>
            <w:tcW w:w="2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Percentage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ind w:right="554"/>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0" w:type="dxa"/>
            <w:vAlign w:val="bottom"/>
          </w:tcPr>
          <w:p>
            <w:pPr>
              <w:spacing w:after="0"/>
              <w:rPr>
                <w:sz w:val="1"/>
                <w:szCs w:val="1"/>
                <w:color w:val="auto"/>
              </w:rPr>
            </w:pPr>
          </w:p>
        </w:tc>
      </w:tr>
      <w:tr>
        <w:trPr>
          <w:trHeight w:val="177"/>
        </w:trPr>
        <w:tc>
          <w:tcPr>
            <w:tcW w:w="48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2"/>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Change‎</w:t>
            </w:r>
          </w:p>
        </w:tc>
        <w:tc>
          <w:tcPr>
            <w:tcW w:w="2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84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Employee compensation and benefits</w:t>
            </w:r>
          </w:p>
        </w:tc>
        <w:tc>
          <w:tcPr>
            <w:tcW w:w="2180" w:type="dxa"/>
            <w:vAlign w:val="bottom"/>
            <w:gridSpan w:val="2"/>
            <w:shd w:val="clear" w:color="auto" w:fill="CCEEFF"/>
          </w:tcPr>
          <w:p>
            <w:pPr>
              <w:jc w:val="right"/>
              <w:ind w:right="797"/>
              <w:spacing w:after="0" w:line="18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69,445</w:t>
            </w: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3.5 %</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97"/>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67,096</w:t>
            </w:r>
          </w:p>
        </w:tc>
        <w:tc>
          <w:tcPr>
            <w:tcW w:w="0" w:type="dxa"/>
            <w:vAlign w:val="bottom"/>
          </w:tcPr>
          <w:p>
            <w:pPr>
              <w:spacing w:after="0"/>
              <w:rPr>
                <w:sz w:val="1"/>
                <w:szCs w:val="1"/>
                <w:color w:val="auto"/>
              </w:rPr>
            </w:pPr>
          </w:p>
        </w:tc>
      </w:tr>
      <w:tr>
        <w:trPr>
          <w:trHeight w:val="185"/>
        </w:trPr>
        <w:tc>
          <w:tcPr>
            <w:tcW w:w="484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Other production, distribution and operating costs</w:t>
            </w: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68,008</w:t>
            </w:r>
          </w:p>
        </w:tc>
        <w:tc>
          <w:tcPr>
            <w:tcW w:w="180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auto"/>
              </w:rPr>
              <w:t>(13.5) %</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78,638</w:t>
            </w:r>
          </w:p>
        </w:tc>
        <w:tc>
          <w:tcPr>
            <w:tcW w:w="0" w:type="dxa"/>
            <w:vAlign w:val="bottom"/>
          </w:tcPr>
          <w:p>
            <w:pPr>
              <w:spacing w:after="0"/>
              <w:rPr>
                <w:sz w:val="1"/>
                <w:szCs w:val="1"/>
                <w:color w:val="auto"/>
              </w:rPr>
            </w:pPr>
          </w:p>
        </w:tc>
      </w:tr>
      <w:tr>
        <w:trPr>
          <w:trHeight w:val="186"/>
        </w:trPr>
        <w:tc>
          <w:tcPr>
            <w:tcW w:w="484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Newsprint, ink and other supplies</w:t>
            </w:r>
          </w:p>
        </w:tc>
        <w:tc>
          <w:tcPr>
            <w:tcW w:w="1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8,793</w:t>
            </w:r>
          </w:p>
        </w:tc>
        <w:tc>
          <w:tcPr>
            <w:tcW w:w="1800" w:type="dxa"/>
            <w:vAlign w:val="bottom"/>
            <w:gridSpan w:val="2"/>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(20.3) %</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11,035</w:t>
            </w:r>
          </w:p>
        </w:tc>
        <w:tc>
          <w:tcPr>
            <w:tcW w:w="0" w:type="dxa"/>
            <w:vAlign w:val="bottom"/>
          </w:tcPr>
          <w:p>
            <w:pPr>
              <w:spacing w:after="0"/>
              <w:rPr>
                <w:sz w:val="1"/>
                <w:szCs w:val="1"/>
                <w:color w:val="auto"/>
              </w:rPr>
            </w:pPr>
          </w:p>
        </w:tc>
      </w:tr>
      <w:tr>
        <w:trPr>
          <w:trHeight w:val="185"/>
        </w:trPr>
        <w:tc>
          <w:tcPr>
            <w:tcW w:w="484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Depreciation</w:t>
            </w: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1,520</w:t>
            </w:r>
          </w:p>
        </w:tc>
        <w:tc>
          <w:tcPr>
            <w:tcW w:w="180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auto"/>
              </w:rPr>
              <w:t>(43.9) %</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185"/>
        </w:trPr>
        <w:tc>
          <w:tcPr>
            <w:tcW w:w="484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Loss on sale/disposal of assets, net</w:t>
            </w:r>
          </w:p>
        </w:tc>
        <w:tc>
          <w:tcPr>
            <w:tcW w:w="1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(100.0) %</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2"/>
        </w:trPr>
        <w:tc>
          <w:tcPr>
            <w:tcW w:w="4840" w:type="dxa"/>
            <w:vAlign w:val="bottom"/>
            <w:tcBorders>
              <w:bottom w:val="single" w:sz="8" w:color="CCEEFF"/>
            </w:tcBorders>
          </w:tcPr>
          <w:p>
            <w:pPr>
              <w:ind w:left="100"/>
              <w:spacing w:after="0" w:line="186" w:lineRule="exact"/>
              <w:rPr>
                <w:sz w:val="20"/>
                <w:szCs w:val="20"/>
                <w:color w:val="auto"/>
              </w:rPr>
            </w:pPr>
            <w:r>
              <w:rPr>
                <w:rFonts w:ascii="Times New Roman" w:cs="Times New Roman" w:eastAsia="Times New Roman" w:hAnsi="Times New Roman"/>
                <w:sz w:val="18"/>
                <w:szCs w:val="18"/>
                <w:color w:val="auto"/>
              </w:rPr>
              <w:t>Asset impairments</w:t>
            </w:r>
          </w:p>
        </w:tc>
        <w:tc>
          <w:tcPr>
            <w:tcW w:w="1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auto"/>
              </w:rPr>
              <w:t>(100.0) %</w:t>
            </w:r>
          </w:p>
        </w:tc>
        <w:tc>
          <w:tcPr>
            <w:tcW w:w="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85"/>
        </w:trPr>
        <w:tc>
          <w:tcPr>
            <w:tcW w:w="4840" w:type="dxa"/>
            <w:vAlign w:val="bottom"/>
            <w:tcBorders>
              <w:bottom w:val="single" w:sz="8" w:color="CCEEFF"/>
            </w:tcBorders>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b w:val="1"/>
                <w:bCs w:val="1"/>
                <w:color w:val="auto"/>
              </w:rPr>
              <w:t>Total Operating Costs and Expense</w:t>
            </w:r>
          </w:p>
        </w:tc>
        <w:tc>
          <w:tcPr>
            <w:tcW w:w="1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97"/>
              <w:spacing w:after="0" w:line="185"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w w:val="95"/>
              </w:rPr>
              <w:t>147,766</w:t>
            </w:r>
          </w:p>
        </w:tc>
        <w:tc>
          <w:tcPr>
            <w:tcW w:w="1800" w:type="dxa"/>
            <w:vAlign w:val="bottom"/>
            <w:tcBorders>
              <w:bottom w:val="single" w:sz="8" w:color="CCEEFF"/>
            </w:tcBorders>
            <w:gridSpan w:val="2"/>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(7.4) %</w:t>
            </w:r>
          </w:p>
        </w:tc>
        <w:tc>
          <w:tcPr>
            <w:tcW w:w="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97"/>
              <w:spacing w:after="0" w:line="185"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159,638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Employee compensation and benefits </w:t>
      </w:r>
      <w:r>
        <w:rPr>
          <w:rFonts w:ascii="Times New Roman" w:cs="Times New Roman" w:eastAsia="Times New Roman" w:hAnsi="Times New Roman"/>
          <w:sz w:val="18"/>
          <w:szCs w:val="18"/>
          <w:color w:val="auto"/>
        </w:rPr>
        <w:t>– The Company continues to implement measures to optimize its workforce and evaluate strategies to reduce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future obligations for employee benefit plans. Employee compensation and benefits increased $2,349 in 2023, primarily due to increases in medical, and severance expense of $3,834, primarily related to the voluntary severance program that closed in the fourth quarter.</w:t>
      </w:r>
    </w:p>
    <w:p>
      <w:pPr>
        <w:spacing w:after="0" w:line="15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Other production, distribution and operating costs </w:t>
      </w:r>
      <w:r>
        <w:rPr>
          <w:rFonts w:ascii="Times New Roman" w:cs="Times New Roman" w:eastAsia="Times New Roman" w:hAnsi="Times New Roman"/>
          <w:sz w:val="18"/>
          <w:szCs w:val="18"/>
          <w:color w:val="auto"/>
        </w:rPr>
        <w:t>– Expense decreased $10,630 in 2023, primarily due to reduced distribution expense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lower circulation and fewer preprinted advertisements distributed to publications in other markets, and savings in outside services. The Company experienced additional distribution savings in the fourth quarter related to the discontinuation of its niche publications at the end of August 2023. In addition, in the second quarter of 2023, the Company recorded a non-recurring lease cost benefit of $556.</w:t>
      </w:r>
    </w:p>
    <w:p>
      <w:pPr>
        <w:spacing w:after="0" w:line="15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Newsprint, ink and other supplies </w:t>
      </w:r>
      <w:r>
        <w:rPr>
          <w:rFonts w:ascii="Times New Roman" w:cs="Times New Roman" w:eastAsia="Times New Roman" w:hAnsi="Times New Roman"/>
          <w:sz w:val="18"/>
          <w:szCs w:val="18"/>
          <w:color w:val="auto"/>
        </w:rPr>
        <w:t>– Expense decreased $2,242 in 2023, primarily due to reduced newsprint costs associated with lower circulation,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discontinuing print-only editions of the Company’s niche publications and fewer preprinted advertisements. Newsprint consumption approximated 6,658 and 7,735 metric tons in 2023 and 2022, respectively, at an average cost per metric ton of $779 and $728, respectively. Currently, the Company is experiencing favorable newsprint pricing; however, certain events or circumstances that in most instances are beyond the Company’s control could have an adverse impact on pricing.</w:t>
      </w:r>
    </w:p>
    <w:p>
      <w:pPr>
        <w:spacing w:after="0" w:line="1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Depreciation </w:t>
      </w:r>
      <w:r>
        <w:rPr>
          <w:rFonts w:ascii="Times New Roman" w:cs="Times New Roman" w:eastAsia="Times New Roman" w:hAnsi="Times New Roman"/>
          <w:sz w:val="18"/>
          <w:szCs w:val="18"/>
          <w:color w:val="auto"/>
        </w:rPr>
        <w:t>– Expense decreased $1,189 in 2023, due to a lower depreciable asset base as a higher level of in-service assets are now fully depreciated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reduced capital spending.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Loss on sale/disposal of assets, net </w:t>
      </w:r>
      <w:r>
        <w:rPr>
          <w:rFonts w:ascii="Times New Roman" w:cs="Times New Roman" w:eastAsia="Times New Roman" w:hAnsi="Times New Roman"/>
          <w:sz w:val="18"/>
          <w:szCs w:val="18"/>
          <w:color w:val="auto"/>
        </w:rPr>
        <w:t>– In 2022, the Company disposed assets that were no longer in use, and from time to time, may sell assets.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Asset impairments – </w:t>
      </w:r>
      <w:r>
        <w:rPr>
          <w:rFonts w:ascii="Times New Roman" w:cs="Times New Roman" w:eastAsia="Times New Roman" w:hAnsi="Times New Roman"/>
          <w:sz w:val="18"/>
          <w:szCs w:val="18"/>
          <w:color w:val="auto"/>
        </w:rPr>
        <w:t>In 2022, the Company terminated the lease and sublease agreements for the office space of the Denton Publishing Company, resulting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right-of-use asset impairment of $102.</w:t>
      </w:r>
    </w:p>
    <w:p>
      <w:pPr>
        <w:spacing w:after="0" w:line="67" w:lineRule="exact"/>
        <w:rPr>
          <w:sz w:val="20"/>
          <w:szCs w:val="20"/>
          <w:color w:val="auto"/>
        </w:rPr>
      </w:pPr>
    </w:p>
    <w:p>
      <w:pPr>
        <w:ind w:left="5940"/>
        <w:spacing w:after="0"/>
        <w:tabs>
          <w:tab w:leader="none" w:pos="1052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other components of the Company’s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1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2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ind w:right="558"/>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22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w w:val="99"/>
              </w:rPr>
              <w:t>Percentage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vMerge w:val="restart"/>
          </w:tcPr>
          <w:p>
            <w:pPr>
              <w:jc w:val="right"/>
              <w:ind w:right="538"/>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0" w:type="dxa"/>
            <w:vAlign w:val="bottom"/>
          </w:tcPr>
          <w:p>
            <w:pPr>
              <w:spacing w:after="0"/>
              <w:rPr>
                <w:sz w:val="1"/>
                <w:szCs w:val="1"/>
                <w:color w:val="auto"/>
              </w:rPr>
            </w:pPr>
          </w:p>
        </w:tc>
      </w:tr>
      <w:tr>
        <w:trPr>
          <w:trHeight w:val="177"/>
        </w:trPr>
        <w:tc>
          <w:tcPr>
            <w:tcW w:w="6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Change‎</w:t>
            </w:r>
          </w:p>
        </w:tc>
        <w:tc>
          <w:tcPr>
            <w:tcW w:w="2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200" w:type="dxa"/>
            <w:vAlign w:val="bottom"/>
            <w:tcBorders>
              <w:bottom w:val="single" w:sz="8" w:color="CCEEFF"/>
            </w:tcBorders>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Other income (loss), net</w:t>
            </w:r>
          </w:p>
        </w:tc>
        <w:tc>
          <w:tcPr>
            <w:tcW w:w="360" w:type="dxa"/>
            <w:vAlign w:val="bottom"/>
            <w:tcBorders>
              <w:bottom w:val="single" w:sz="8" w:color="auto"/>
            </w:tcBorders>
            <w:shd w:val="clear" w:color="auto" w:fill="CCEEFF"/>
          </w:tcPr>
          <w:p>
            <w:pPr>
              <w:jc w:val="right"/>
              <w:ind w:right="172"/>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1,422</w:t>
            </w:r>
          </w:p>
        </w:tc>
        <w:tc>
          <w:tcPr>
            <w:tcW w:w="2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123"/>
              <w:spacing w:after="0" w:line="186" w:lineRule="exact"/>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97"/>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2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shd w:val="clear" w:color="auto" w:fill="CCEEFF"/>
          </w:tcPr>
          <w:p>
            <w:pPr>
              <w:jc w:val="right"/>
              <w:ind w:right="172"/>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464</w:t>
            </w:r>
          </w:p>
        </w:tc>
        <w:tc>
          <w:tcPr>
            <w:tcW w:w="1740" w:type="dxa"/>
            <w:vAlign w:val="bottom"/>
            <w:gridSpan w:val="2"/>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(16.8) %</w:t>
            </w:r>
          </w:p>
        </w:tc>
        <w:tc>
          <w:tcPr>
            <w:tcW w:w="580" w:type="dxa"/>
            <w:vAlign w:val="bottom"/>
            <w:gridSpan w:val="2"/>
            <w:shd w:val="clear" w:color="auto" w:fill="CCEEFF"/>
          </w:tcPr>
          <w:p>
            <w:pPr>
              <w:jc w:val="right"/>
              <w:ind w:right="197"/>
              <w:spacing w:after="0" w:line="18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62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b w:val="1"/>
          <w:bCs w:val="1"/>
          <w:color w:val="auto"/>
        </w:rPr>
        <w:t xml:space="preserve">Other income (loss), net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income (loss), net includes net periodic pension and other post-employment expense (benefit), interest income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gain (loss) from investments.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periodic pension and other post-employment expense (benefit) was $(899) and $910 in 2023 and 2022, respectively. For 2022, based on the re-allocation of the Pension Plans’ assets, the Company assumed a lower rate of return on the assets resulting in net periodic pension expense.</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2023, the Company recorded $401 of interest income related to the CD’s invested in during 2023. In 2022, the Company recorded $616 of interest income related to the promissory note from the sale of its former headquarters, which was paid in full, including interest, in the third quarter of 2022.</w:t>
      </w:r>
    </w:p>
    <w:p>
      <w:pPr>
        <w:spacing w:after="0" w:line="13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Income tax provision </w:t>
      </w:r>
      <w:r>
        <w:rPr>
          <w:rFonts w:ascii="Times New Roman" w:cs="Times New Roman" w:eastAsia="Times New Roman" w:hAnsi="Times New Roman"/>
          <w:sz w:val="18"/>
          <w:szCs w:val="18"/>
          <w:color w:val="auto"/>
        </w:rPr>
        <w:t>– The income tax provision of $464 and $558 recorded in 2023 and 2022, respectively, was due to the effect of the Texas franchise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2023 income tax expense was reduced by the release of a $66 federal uncertain tax reserve, included in other liabilities, as a result of the statute of limitations lapsing in June 2023. In connection with the release of a federal uncertain tax reserve, the Company released a reserve for interest and penalties included in other liabilities and recognized $36 in other income (loss), net in the second quarter of 2023.</w:t>
      </w:r>
    </w:p>
    <w:p>
      <w:pPr>
        <w:spacing w:after="0" w:line="15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Legal proceedings </w:t>
      </w:r>
      <w:r>
        <w:rPr>
          <w:rFonts w:ascii="Times New Roman" w:cs="Times New Roman" w:eastAsia="Times New Roman" w:hAnsi="Times New Roman"/>
          <w:sz w:val="18"/>
          <w:szCs w:val="18"/>
          <w:color w:val="auto"/>
        </w:rPr>
        <w:t>– From time to time, the Company is involved in a variety of claims, lawsuits and other disputes arising in the ordinary course of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routinely assesses the likelihood of adverse judgments or outcomes in these matters, as well as the ranges of probable losses to the extent losses are reasonably estimable. Accruals for contingencies are recorded when, in the judgment of management, adverse judgments or outcomes are probable and the financial impact, should an adverse outcome occur, is reasonably estimable. The determination of likely outcomes of litigation matters relates to factors that include, but are not limited to, past experience and other evidence, interpretation of relevant laws or regulations and the specifics and status of each matter. Predicting the outcome of claims and litigation and estimating related costs and financial exposure involves substantial uncertainties that could cause actual results to vary materially from estimates and accruals. In the opinion of management, liabilities, if any, arising from other currently existing claims against the Company would not have a material adverse effect on DallasNews’ results of operations, liquidity or financial condition.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1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DallasNews’ consolidated financial statements reflect the application of accounting policies that require management to make significant estimates and assumptions. The Company believes that the following are the critical accounting policies, estimates and assumptions currently affecting DallasNews’ financial position and results of operations. See the Notes to the Consolidated Financial Statements, </w:t>
      </w:r>
      <w:r>
        <w:rPr>
          <w:rFonts w:ascii="Times New Roman" w:cs="Times New Roman" w:eastAsia="Times New Roman" w:hAnsi="Times New Roman"/>
          <w:sz w:val="18"/>
          <w:szCs w:val="18"/>
          <w:u w:val="single" w:color="auto"/>
          <w:color w:val="0000FF"/>
        </w:rPr>
        <w:t>Note 1 – Significant Accounting Policies and Recently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Issued Accounting Standards</w:t>
      </w:r>
      <w:r>
        <w:rPr>
          <w:rFonts w:ascii="Times New Roman" w:cs="Times New Roman" w:eastAsia="Times New Roman" w:hAnsi="Times New Roman"/>
          <w:sz w:val="18"/>
          <w:szCs w:val="18"/>
          <w:color w:val="000000"/>
        </w:rPr>
        <w:t>, for additional information concerning significant accounting policies.</w:t>
      </w:r>
    </w:p>
    <w:p>
      <w:pPr>
        <w:spacing w:after="0" w:line="15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The Company’s principal sources of revenue are sales of advertising within its newspaper and digital platforms, subscription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retail sales of its newspaper, commercial printing and distribution services, primarily related to national newspapers. In addition, revenue includes strategic marketing services, consulting, branding, paid media strategy and management, creative services, search optimization, direct mail, the sale of promotional materials, and subscriptions to the Company’s multi-channel marketing solutions cloud-based software and services, as well as targeted and multi-channel (programmatic) advertising placed on third-party platforms.</w:t>
      </w:r>
    </w:p>
    <w:p>
      <w:pPr>
        <w:spacing w:after="0" w:line="200" w:lineRule="exact"/>
        <w:rPr>
          <w:sz w:val="20"/>
          <w:szCs w:val="20"/>
          <w:color w:val="auto"/>
        </w:rPr>
      </w:pPr>
    </w:p>
    <w:p>
      <w:pPr>
        <w:spacing w:after="0" w:line="270" w:lineRule="exact"/>
        <w:rPr>
          <w:sz w:val="20"/>
          <w:szCs w:val="20"/>
          <w:color w:val="auto"/>
        </w:rPr>
      </w:pPr>
    </w:p>
    <w:p>
      <w:pPr>
        <w:ind w:left="5940"/>
        <w:spacing w:after="0"/>
        <w:tabs>
          <w:tab w:leader="none" w:pos="1052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and Marketing Services</w:t>
      </w:r>
    </w:p>
    <w:p>
      <w:pPr>
        <w:spacing w:after="0" w:line="17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Advertising and marketing services revenue is recognized when an ad or service is complete and delivered based on the contract price. Payment is typically received within 30 to 60 days after the customer is billed. Longer-term contracts often include multiple performance obligations, digital and other forms of advertising, and a single performance obligation containing a bundle of services that are not distinct but provided to maximize a customer’s marketing plan. When the Company has a longer-term contract, revenue is recognized over time as the ads or services are delivered. For contracts with over time revenue recognition the company is providing a series of services and recognizes revenue by 1) using a time-based method of measuring progress of delivery over time, or 2) as each distinct performance obligation (typically ads or impressions) are delivered on a monthly basis. In addition, certain digital advertising revenue related to website access is recognized over time, based on the customers’ monthly rate. The Company typically extends credit to advertising and marketing services customers, although for certain advertising campaigns the customer may pay in advance.</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Print advertising is primarily comprised of display and classified advertising revenue. Display revenue results from sales of advertising space within the Company’s core newspaper to local, regional or national businesses with local operations, affiliates or resellers. Classified revenue, which includes automotive, real estate, employment, obituaries and other, results from sales of advertising space in the classified and other sections of the Company’s newspaper.</w:t>
      </w:r>
    </w:p>
    <w:p>
      <w:pPr>
        <w:spacing w:after="0" w:line="14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The Company’s agreement allowing it to distribute preprinted advertisements through the mail or through third-party distributors to households in targeted areas was not renewed and ended August 31, 2023. As a result of the end of the distribution agreement whose weekly shared mail coupons and home delivery inserts supported the Company’s niche publications, the Company decided to stop print-only editions of its niche publications, </w:t>
      </w:r>
      <w:r>
        <w:rPr>
          <w:rFonts w:ascii="Times New Roman" w:cs="Times New Roman" w:eastAsia="Times New Roman" w:hAnsi="Times New Roman"/>
          <w:sz w:val="18"/>
          <w:szCs w:val="18"/>
          <w:i w:val="1"/>
          <w:iCs w:val="1"/>
          <w:color w:val="auto"/>
        </w:rPr>
        <w:t>Al Dia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Briefing</w:t>
      </w:r>
      <w:r>
        <w:rPr>
          <w:rFonts w:ascii="Times New Roman" w:cs="Times New Roman" w:eastAsia="Times New Roman" w:hAnsi="Times New Roman"/>
          <w:sz w:val="18"/>
          <w:szCs w:val="18"/>
          <w:color w:val="auto"/>
        </w:rPr>
        <w:t xml:space="preserve"> after August 30, 2023. </w:t>
      </w:r>
      <w:r>
        <w:rPr>
          <w:rFonts w:ascii="Times New Roman" w:cs="Times New Roman" w:eastAsia="Times New Roman" w:hAnsi="Times New Roman"/>
          <w:sz w:val="18"/>
          <w:szCs w:val="18"/>
          <w:i w:val="1"/>
          <w:iCs w:val="1"/>
          <w:color w:val="auto"/>
        </w:rPr>
        <w:t>Al Dia</w:t>
      </w:r>
      <w:r>
        <w:rPr>
          <w:rFonts w:ascii="Times New Roman" w:cs="Times New Roman" w:eastAsia="Times New Roman" w:hAnsi="Times New Roman"/>
          <w:sz w:val="18"/>
          <w:szCs w:val="18"/>
          <w:color w:val="auto"/>
        </w:rPr>
        <w:t xml:space="preserve"> continues as a digital-only product that publishes online daily, as news develops, and in a weekly ePaper edition available online. </w:t>
      </w:r>
      <w:r>
        <w:rPr>
          <w:rFonts w:ascii="Times New Roman" w:cs="Times New Roman" w:eastAsia="Times New Roman" w:hAnsi="Times New Roman"/>
          <w:sz w:val="18"/>
          <w:szCs w:val="18"/>
          <w:i w:val="1"/>
          <w:iCs w:val="1"/>
          <w:color w:val="auto"/>
        </w:rPr>
        <w:t xml:space="preserve">Briefing </w:t>
      </w:r>
      <w:r>
        <w:rPr>
          <w:rFonts w:ascii="Times New Roman" w:cs="Times New Roman" w:eastAsia="Times New Roman" w:hAnsi="Times New Roman"/>
          <w:sz w:val="18"/>
          <w:szCs w:val="18"/>
          <w:color w:val="auto"/>
        </w:rPr>
        <w:t>was discontinued as a weekly newspaper, and the brand was retired.</w:t>
      </w:r>
    </w:p>
    <w:p>
      <w:pPr>
        <w:spacing w:after="0" w:line="15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Digital advertising and marketing services revenue consists of strategic marketing services, consulting, branding, paid media strategy and management, creative services, search optimization, direct mail, the sale of promotional materials, and subscriptions to the Company’s multi-channel marketing solutions cloud-based software and services. In addition, it includes digital sales of banner, classified and native advertisements on the Company’s news websites, social media platforms and mobile apps, as well as targeted and multi-channel (programmatic) advertising placed on third-party platforms.</w:t>
      </w:r>
    </w:p>
    <w:p>
      <w:pPr>
        <w:spacing w:after="0" w:line="15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For ads placed on certain third-party platforms, the Company must evaluate and use judgment to determine whether it is acting as the principal, where revenue is reported on a gross basis, or acting as the agent, where revenue is reported on a net basis. Generally, the Company reports advertising revenue for ads placed on third-party platforms on a net basis, meaning the amount recorded to revenue is the amount billed to the customer net of amounts paid to the publisher of the third-party platforms. The Company is acting as the agent because the publisher controls the advertising inventory. The Company will record certain arrangements gross when it controls the inventory or it has latitude in establishing price or it determines that advertising campaign management, targeting or other actions provide significant value added service to the customer.</w:t>
      </w:r>
    </w:p>
    <w:p>
      <w:pPr>
        <w:spacing w:after="0" w:line="14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Barter advertising transactions are recognized at estimated fair value based on the negotiated contract price and the range of prices for similar advertising from customers unrelated to the barter transaction. The Company expenses barter costs as incurred, which is independent from the timing of revenue recognition.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Circulation</w:t>
      </w:r>
    </w:p>
    <w:p>
      <w:pPr>
        <w:spacing w:after="0" w:line="16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Circulation revenue is generated primarily by selling home delivery, including premium publications, and digital subscriptions, as well as single copy sales to non-subscribers for which revenue is recognized at a point in time when the paper is purchased. Home delivery revenue is recognized over the subscription period based on the days of actual delivery over the total subscription days. Revenue is directly reduced for any non-payment for the grace period of home delivery subscriptions where the Company recorded revenue for newspapers delivered after a subscription expired. Digital-only subscription revenue is recognized over the subscription period based on daily or monthly access to the content in the subscription period. Payment of circulation fees is typically received in advance and deferred over the subscription period. There is little judgment required for valuation or timing of circulation revenue recognition.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Printing, Distribution and Other</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Printing, distribution and other revenue is primarily generated from printing and distribution of other newspapers. Printing, distribution and other revenue is recognized at a point in time when the product or service is delivered, which requires little judgment to determine.</w:t>
      </w:r>
    </w:p>
    <w:p>
      <w:pPr>
        <w:spacing w:after="0" w:line="200" w:lineRule="exact"/>
        <w:rPr>
          <w:sz w:val="20"/>
          <w:szCs w:val="20"/>
          <w:color w:val="auto"/>
        </w:rPr>
      </w:pPr>
    </w:p>
    <w:p>
      <w:pPr>
        <w:spacing w:after="0" w:line="267" w:lineRule="exact"/>
        <w:rPr>
          <w:sz w:val="20"/>
          <w:szCs w:val="20"/>
          <w:color w:val="auto"/>
        </w:rPr>
      </w:pPr>
    </w:p>
    <w:p>
      <w:pPr>
        <w:jc w:val="right"/>
        <w:spacing w:after="0"/>
        <w:tabs>
          <w:tab w:leader="none" w:pos="6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Pension. </w:t>
      </w:r>
      <w:r>
        <w:rPr>
          <w:rFonts w:ascii="Times New Roman" w:cs="Times New Roman" w:eastAsia="Times New Roman" w:hAnsi="Times New Roman"/>
          <w:sz w:val="17"/>
          <w:szCs w:val="17"/>
          <w:color w:val="auto"/>
        </w:rPr>
        <w:t>The Company follows accounting guidance for single-employer defined benefit plans. Plan assets and the projected benefits obligation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measured each December 31, and the Company records as an asset or liability for the net funded position of the plans. Certain changes in actuarial valuations related to returns on plan assets and projected benefit obligations are recorded to accumulated other comprehensive income (loss) and are amortized to net periodic pension expense (benefit) over the weighted average remaining life of plan participants, to the extent the cumulative balance in accumulated other comprehensive income (loss) exceeds 10 percent of the greater of the respective plan’s (a) projected benefit obligation or (b) the market-related value of the plan’s assets. Net periodic pension expense (benefit) is recognized each period by accruing interest expense on the projected benefit obligation and accruing a return on assets associated with the plan assets. Participation in and accrual of new benefits to participants has been frozen since 2007 and, accordingly, on-going service costs are not a component of net periodic pension expense (benefit). From time to time, the Company-sponsored plans may settle pension obligations with certain plan participants through the plans’ master trust as part of its de-risking strategies. The gains or losses associated with settlements of plan obligations to participants are recognized to earnings if such settlements exceed the interest component of net periodic pension cost for the year. Otherwise, such amounts are included in actuarial gains (losses) in accumulated other comprehensive income (loss). Re-measurement of plan assets and liabilities upon a significant settlement or curtailment event is performed based on the values of the month-end closest to the event.</w:t>
      </w:r>
    </w:p>
    <w:p>
      <w:pPr>
        <w:spacing w:after="0" w:line="14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projected benefit obligations of the DallasNews Pension Plans are estimated using the FTSE Pension Discount Curve, which is based upon a portfolio of high-quality corporate debt securities with maturities that correlate to the expected timing of estimated benefit payments to the Pension Plans’ participants. Future estimated benefit payments are discounted to their present value at the appropriate yield curve spot rate to determine the projected benefit obligation outstanding at each year end. The single equivalent discount rate as of December 31, 2023, was 4.7 percent and 4.9 percent for December 31, 2022. The actuarial net losses in 2023 and significant gains in 2022 related to changes in the projected benefit obligation were primarily due to the movement in the discount rate.</w:t>
      </w:r>
    </w:p>
    <w:p>
      <w:pPr>
        <w:spacing w:after="0" w:line="14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Interest expense included in net periodic pension benefit is based on the FTSE Pension Discount Curve established at the beginning of the fiscal year. The discount rate for fiscal year 2023 and 2022 interest cost was 4.9 percent and 2.5 percent, respectively.</w:t>
      </w:r>
    </w:p>
    <w:p>
      <w:pPr>
        <w:spacing w:after="0" w:line="15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assumed a 4.9 percent and 2.5 percent long-term return on the Pension Plans’ assets in 2023 and 2022, respectively. This return is based upon historical returns of similar investment pools having asset allocations consistent with the expected allocations of the DallasNews Pension Plans. Investment strategies for the Pension Plans’ assets are based upon factors such as the effective duration of the actuarial liabilities and market risks.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Standards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the Notes to the Consolidated Financial Statements, </w:t>
      </w:r>
      <w:r>
        <w:rPr>
          <w:rFonts w:ascii="Times New Roman" w:cs="Times New Roman" w:eastAsia="Times New Roman" w:hAnsi="Times New Roman"/>
          <w:sz w:val="18"/>
          <w:szCs w:val="18"/>
          <w:u w:val="single" w:color="auto"/>
          <w:color w:val="0000FF"/>
        </w:rPr>
        <w:t>Note 1 - Significant Accounting Policies and Recently Issued Accounting Standards</w:t>
      </w:r>
      <w:r>
        <w:rPr>
          <w:rFonts w:ascii="Times New Roman" w:cs="Times New Roman" w:eastAsia="Times New Roman" w:hAnsi="Times New Roman"/>
          <w:sz w:val="18"/>
          <w:szCs w:val="18"/>
          <w:color w:val="auto"/>
        </w:rPr>
        <w:t>, regarding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-9525</wp:posOffset>
            </wp:positionV>
            <wp:extent cx="37744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744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impact of certain recent accounting pronouncements.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6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Company’s cash balances as of December 31, 2023 and 2022, were $11,697 and $27,825, respectively. The decrease in the cash balance during 2023 was primarily due to the return of capital to shareholders through dividends and the net loss from operations. In 2023, the Company invested $10,500 in Certificates of Deposit (“CD’s”), as discussed below, included in short-term investments in the Consolidated Balance Sheet and Statement of Cash flows.</w:t>
      </w:r>
    </w:p>
    <w:p>
      <w:pPr>
        <w:spacing w:after="0" w:line="15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intends to hold the majority of existing cash for purposes of future investment opportunities, potential return of capital to shareholders and for contingency purposes. While the Company expects to have cash flow and expense reduction measures in place to help offset future revenue declines, the Company does expect to use cash to fund operating activities and capital spending.</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future approval of dividends is dependent upon available cash after considering future operating and investing requirements and cannot be guaranteed. The Company continues to have a board-authorized repurchase authority. However, the agreement to repurchase the Company’s stock expired and was not renewed.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discusses the changes in cash flows by operating, investing and financing activities in 2023 and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operating activities was $1,174 and $13,933 in 2023 and 2022, respectively.</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Cash flows used for operating activities decreased by $12,759 in 2023, when compared to the prior year period, primarily due an improvement in the loss from operations and changes in working capital and other operating assets and liabilities, and in 2022 the Company made a board approved voluntary contribution of $5,000 to the DallasNews Pension Plans.</w:t>
      </w:r>
    </w:p>
    <w:p>
      <w:pPr>
        <w:spacing w:after="0" w:line="200" w:lineRule="exact"/>
        <w:rPr>
          <w:sz w:val="20"/>
          <w:szCs w:val="20"/>
          <w:color w:val="auto"/>
        </w:rPr>
      </w:pPr>
    </w:p>
    <w:p>
      <w:pPr>
        <w:spacing w:after="0" w:line="271" w:lineRule="exact"/>
        <w:rPr>
          <w:sz w:val="20"/>
          <w:szCs w:val="20"/>
          <w:color w:val="auto"/>
        </w:rPr>
      </w:pPr>
    </w:p>
    <w:p>
      <w:pPr>
        <w:ind w:left="5940"/>
        <w:spacing w:after="0"/>
        <w:tabs>
          <w:tab w:leader="none" w:pos="1052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for) investing activities was $(11,528) and $20,773 in 2023 and 2022, respectively.</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2023, the Company invested $10,500 in CD’s with original maturities of one year or less, which resulted in a cash return of $120. In 2022, the Company received cash proceeds of $22,400 for payment in full of the promissory note from the sale of its former headquarters. Cash flows used for investing activities also included $1,148 and $1,627 of capital spending in 2023 and 2022,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Flows</w:t>
      </w:r>
    </w:p>
    <w:p>
      <w:pPr>
        <w:spacing w:after="0" w:line="16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Net cash used for financing activities was $3,426 and $11,454 in 2023 and 2022, respectively, all attributable to dividend payments. In 2022, the Company’s board of directors declared a special, one-time $1.50 per share dividend, returning $8,029 to shareholders.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9"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18"/>
          <w:szCs w:val="18"/>
          <w:color w:val="auto"/>
        </w:rPr>
        <w:t xml:space="preserve">As of December 31, 2023, the Company had contractual obligations, in aggregate, of $14,143 for the next five years and $11,994 thereafter, for operating leases, primarily for office space and other distribution centers, some of which include escalating lease payments. See </w:t>
      </w:r>
      <w:r>
        <w:rPr>
          <w:rFonts w:ascii="Times New Roman" w:cs="Times New Roman" w:eastAsia="Times New Roman" w:hAnsi="Times New Roman"/>
          <w:sz w:val="18"/>
          <w:szCs w:val="18"/>
          <w:u w:val="single" w:color="auto"/>
          <w:color w:val="0000FF"/>
        </w:rPr>
        <w:t>Note 4 – Leases</w:t>
      </w:r>
      <w:r>
        <w:rPr>
          <w:rFonts w:ascii="Times New Roman" w:cs="Times New Roman" w:eastAsia="Times New Roman" w:hAnsi="Times New Roman"/>
          <w:sz w:val="18"/>
          <w:szCs w:val="18"/>
          <w:color w:val="auto"/>
        </w:rPr>
        <w:t xml:space="preserve"> for future lease payments by year.</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December 2016, the Dallas Morning News, Inc., a wholly-owned subsidiary of the Company, entered into a 16-year lease agreement for office space for the Company’s new corporate headquarters. The Company recognizes rent expense on a straight-line basis. Per the amended lease agreement, rent payments began in November 2018.</w:t>
      </w:r>
    </w:p>
    <w:p>
      <w:pPr>
        <w:spacing w:after="0" w:line="15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currently does not expect to make contributions to the DallasNews Pension Plans in 2024 and no contributions are required to these plans in 2024 under the applicable tax and labor laws governing pension plan funding; however, certain events or circumstances that in most instances are beyond the Company’s control could result in future mandatory contributions.</w:t>
      </w:r>
    </w:p>
    <w:p>
      <w:pPr>
        <w:spacing w:after="0" w:line="15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December 7, 2023, the Company’s board of directors declared a $0.16 per share dividend to shareholders of record as of the close of business on February 9, 2024, paid on March 1,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6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The consolidated financial statements, together with the Report of Independent Registered Public Accounting Firms, are included herein starting on </w:t>
      </w:r>
      <w:r>
        <w:rPr>
          <w:rFonts w:ascii="Times New Roman" w:cs="Times New Roman" w:eastAsia="Times New Roman" w:hAnsi="Times New Roman"/>
          <w:sz w:val="18"/>
          <w:szCs w:val="18"/>
          <w:u w:val="single" w:color="auto"/>
          <w:color w:val="0000FF"/>
        </w:rPr>
        <w:t>page</w:t>
      </w:r>
      <w:r>
        <w:rPr>
          <w:rFonts w:ascii="Times New Roman" w:cs="Times New Roman" w:eastAsia="Times New Roman" w:hAnsi="Times New Roman"/>
          <w:sz w:val="18"/>
          <w:szCs w:val="18"/>
          <w:color w:val="auto"/>
        </w:rPr>
        <w:t xml:space="preserve"> 25 of this Annual Report on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5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controls that are designed to ensure that information required to be disclosed by the Company in reports filed or submitted under the Exchange Act is recorded, processed, summarized and reported within the time periods specified in the SEC’s rules and forms, and that such information is accumulated and communicated to management, including the Company’s Chief Executive Officer and Principal Financial Officer, as appropriate, to allow timely decisions regarding required disclosure. In designing disclosure controls and procedures, management is required to apply its judgment in evaluating the cost-benefit relationship of possible disclosure controls and procedures. The design of any disclosure controls and procedures is also based, in part, upon certain assumptions about the likelihood of future events and there can be no assurance that any design will succeed in achieving its stated goals under all potential future conditions.</w:t>
      </w:r>
    </w:p>
    <w:p>
      <w:pPr>
        <w:spacing w:after="0" w:line="14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Company’s management, with the participation of its Chief Executive Officer and Principal Financial Officer, evaluated the effectiveness of the design and operation of its disclosure controls and procedures as of December 31, 2023. Based on that evaluation, management concluded that, as of such date, the Company’s disclosure controls and procedures were effective.</w:t>
      </w:r>
    </w:p>
    <w:p>
      <w:pPr>
        <w:spacing w:after="0" w:line="200" w:lineRule="exact"/>
        <w:rPr>
          <w:sz w:val="20"/>
          <w:szCs w:val="20"/>
          <w:color w:val="auto"/>
        </w:rPr>
      </w:pPr>
    </w:p>
    <w:p>
      <w:pPr>
        <w:spacing w:after="0" w:line="271" w:lineRule="exact"/>
        <w:rPr>
          <w:sz w:val="20"/>
          <w:szCs w:val="20"/>
          <w:color w:val="auto"/>
        </w:rPr>
      </w:pPr>
    </w:p>
    <w:p>
      <w:pPr>
        <w:jc w:val="right"/>
        <w:spacing w:after="0"/>
        <w:tabs>
          <w:tab w:leader="none" w:pos="6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The management of DallasNews is responsible for establishing and maintaining adequate internal control over financial reporting as defined in Rule 13a-15(f) under the Exchange Act. The Company’s internal control over financial reporting is designed to provide reasonable assurance regarding the reliability of financial reporting and the preparation of consolidated financial statements for external purposes in accordance with accounting principles generally accepted in the United States of America. Under the supervision and with the participation of management, including the Chief Executive Officer and Principal Financial Officer, an assessment of the effectiveness of internal control over financial reporting was conducted as of December 31, 2023. In making this assessment, management used the criteria set forth by the Committee of Sponsoring Organizations of the Treadway Commission (“COSO”) in Internal Control</w:t>
      </w:r>
    </w:p>
    <w:p>
      <w:pPr>
        <w:spacing w:after="0" w:line="5"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 Integrated Framework (2013). Based on this assessment using the criteria set forth by COSO in Internal Control – Integrated Framework (2013), management concluded that the Company’s internal control over financial reporting was effective as of December 31,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that occurred during the fourth fiscal quarter ended December 31,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5940"/>
        <w:spacing w:after="0"/>
        <w:tabs>
          <w:tab w:leader="none" w:pos="1052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III</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The information set forth under the headings “DallasNews Corporation Stock Ownership,” “Proposal One: Election of Directors,” “Corporate Governance – Committees of the Board – </w:t>
      </w: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xml:space="preserve"> “Corporate Governance – Committees of the Board – </w:t>
      </w: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 xml:space="preserve"> and “Information About Our Executive Officers” contained in the definitive Proxy Statement for the Company’s Annual Meeting of Shareholders to be held on May 9, 2024, is incorporated herein by reference.</w:t>
      </w:r>
    </w:p>
    <w:p>
      <w:pPr>
        <w:spacing w:after="0" w:line="14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DallasNews has adopted a Code of Business Conduct and Ethics that applies to all directors, officers and employees, which can be found at the Company’s website, </w:t>
      </w:r>
      <w:r>
        <w:rPr>
          <w:rFonts w:ascii="Times New Roman" w:cs="Times New Roman" w:eastAsia="Times New Roman" w:hAnsi="Times New Roman"/>
          <w:sz w:val="18"/>
          <w:szCs w:val="18"/>
          <w:i w:val="1"/>
          <w:iCs w:val="1"/>
          <w:color w:val="auto"/>
        </w:rPr>
        <w:t>dallasnewscorporation.com</w:t>
      </w:r>
      <w:r>
        <w:rPr>
          <w:rFonts w:ascii="Times New Roman" w:cs="Times New Roman" w:eastAsia="Times New Roman" w:hAnsi="Times New Roman"/>
          <w:sz w:val="18"/>
          <w:szCs w:val="18"/>
          <w:color w:val="auto"/>
        </w:rPr>
        <w:t>. The Company will post any amendments to the Code of Business Conduct and Ethics, as well as any waivers that are required to be disclosed by the rules of either the SEC or The Nasdaq Stock Market LLC, on the Company’s website. Information on DallasNews’ website is not incorporated by reference into this Annual Report on Form 10-K.</w:t>
      </w:r>
    </w:p>
    <w:p>
      <w:pPr>
        <w:spacing w:after="0" w:line="14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Company’s board of directors adopted Corporate Governance Guidelines and charters for the Audit, Compensation and Management Development, and Nominating and Corporate Governance Committees of the Board of Directors. These documents can be found at the Company’s website,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dallasnewscorporation.com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can also obtain, without charge, printed copies of any of the materials referred to above by contacting the Company at the following address: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DallasNews Corporation</w:t>
      </w:r>
    </w:p>
    <w:p>
      <w:pPr>
        <w:ind w:left="640"/>
        <w:spacing w:after="0" w:line="230" w:lineRule="auto"/>
        <w:rPr>
          <w:sz w:val="20"/>
          <w:szCs w:val="20"/>
          <w:color w:val="auto"/>
        </w:rPr>
      </w:pPr>
      <w:r>
        <w:rPr>
          <w:rFonts w:ascii="Times New Roman" w:cs="Times New Roman" w:eastAsia="Times New Roman" w:hAnsi="Times New Roman"/>
          <w:sz w:val="18"/>
          <w:szCs w:val="18"/>
          <w:color w:val="auto"/>
        </w:rPr>
        <w:t>P. O. Box 224866</w:t>
      </w:r>
    </w:p>
    <w:p>
      <w:pPr>
        <w:ind w:left="640"/>
        <w:spacing w:after="0" w:line="215" w:lineRule="auto"/>
        <w:rPr>
          <w:sz w:val="20"/>
          <w:szCs w:val="20"/>
          <w:color w:val="auto"/>
        </w:rPr>
      </w:pPr>
      <w:r>
        <w:rPr>
          <w:rFonts w:ascii="Times New Roman" w:cs="Times New Roman" w:eastAsia="Times New Roman" w:hAnsi="Times New Roman"/>
          <w:sz w:val="18"/>
          <w:szCs w:val="18"/>
          <w:color w:val="auto"/>
        </w:rPr>
        <w:t>Dallas, Texas 75222-4866</w:t>
      </w:r>
    </w:p>
    <w:p>
      <w:pPr>
        <w:ind w:left="640"/>
        <w:spacing w:after="0" w:line="230" w:lineRule="auto"/>
        <w:rPr>
          <w:sz w:val="20"/>
          <w:szCs w:val="20"/>
          <w:color w:val="auto"/>
        </w:rPr>
      </w:pPr>
      <w:r>
        <w:rPr>
          <w:rFonts w:ascii="Times New Roman" w:cs="Times New Roman" w:eastAsia="Times New Roman" w:hAnsi="Times New Roman"/>
          <w:sz w:val="18"/>
          <w:szCs w:val="18"/>
          <w:color w:val="auto"/>
        </w:rPr>
        <w:t>Attn: Investor Relations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Telephone: (214) 977-8869</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The information set forth under the headings “Corporate Governance – Committees of the Board – </w:t>
      </w:r>
      <w:r>
        <w:rPr>
          <w:rFonts w:ascii="Times New Roman" w:cs="Times New Roman" w:eastAsia="Times New Roman" w:hAnsi="Times New Roman"/>
          <w:sz w:val="18"/>
          <w:szCs w:val="18"/>
          <w:i w:val="1"/>
          <w:iCs w:val="1"/>
          <w:color w:val="auto"/>
        </w:rPr>
        <w:t>Compensation and Management Development Committee,</w:t>
      </w:r>
      <w:r>
        <w:rPr>
          <w:rFonts w:ascii="Times New Roman" w:cs="Times New Roman" w:eastAsia="Times New Roman" w:hAnsi="Times New Roman"/>
          <w:sz w:val="18"/>
          <w:szCs w:val="18"/>
          <w:color w:val="auto"/>
        </w:rPr>
        <w:t>” “Executive Compensation – Summary Compensation Table, – Change in Control Arrangements and Other Agreements Upon Termination of Employment, – Potential Payments on Change in Control or Upon Termination of Employment at December 31, 2023,” “Corporate Governance – “Director Compensation” contained in the definitive Proxy Statement for the Company’s Annual Meeting of Shareholders to be held on May 9, 2024, is incorporated herein by reference.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information set forth under the headings “DallasNews Corporation Stock Ownership of Directors and Executive Officers” and “Equity Compensation Plan Information” contained in the definitive Proxy Statement for the Company’s Annual Meeting of Shareholders to be held on May 9, 2024, is incorporated herein by reference.</w:t>
      </w:r>
    </w:p>
    <w:p>
      <w:pPr>
        <w:spacing w:after="0" w:line="15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Information regarding the number of shares of common stock authorized for issuance under the Company’s equity compensation plans is included in the Notes to the Consolidated Financial Statements, </w:t>
      </w:r>
      <w:r>
        <w:rPr>
          <w:rFonts w:ascii="Times New Roman" w:cs="Times New Roman" w:eastAsia="Times New Roman" w:hAnsi="Times New Roman"/>
          <w:sz w:val="18"/>
          <w:szCs w:val="18"/>
          <w:u w:val="single" w:color="auto"/>
          <w:color w:val="0000FF"/>
        </w:rPr>
        <w:t>Note 1 – Significant Accounting Policies and Recently Issued Accounting Standards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-26670</wp:posOffset>
            </wp:positionV>
            <wp:extent cx="37934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93490" cy="825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information set forth under the heading “Certain Relationships and Related Party Transactions” and “Corporate Governance – Director Independence” contained in the definitive Proxy Statement for the Company’s Annual Meeting of Shareholders to be held on May 9, 2024, is incorporated herein by reference.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information set forth under the heading “Proposal Two: Ratification of the Appointment of Independent Registered Public Accounting Firm” contained in the definitive Proxy Statement for the Company’s Annual Meeting of Shareholders to be held on May 9, 2024, is incorporated herein by reference.</w:t>
      </w:r>
    </w:p>
    <w:p>
      <w:pPr>
        <w:spacing w:after="0" w:line="200" w:lineRule="exact"/>
        <w:rPr>
          <w:sz w:val="20"/>
          <w:szCs w:val="20"/>
          <w:color w:val="auto"/>
        </w:rPr>
      </w:pPr>
    </w:p>
    <w:p>
      <w:pPr>
        <w:spacing w:after="0" w:line="267" w:lineRule="exact"/>
        <w:rPr>
          <w:sz w:val="20"/>
          <w:szCs w:val="20"/>
          <w:color w:val="auto"/>
        </w:rPr>
      </w:pPr>
    </w:p>
    <w:p>
      <w:pPr>
        <w:jc w:val="right"/>
        <w:spacing w:after="0"/>
        <w:tabs>
          <w:tab w:leader="none" w:pos="6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1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5"/>
          <w:szCs w:val="25"/>
          <w:b w:val="1"/>
          <w:bCs w:val="1"/>
          <w:color w:val="auto"/>
        </w:rPr>
        <w:t>PART IV</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6" w:lineRule="exact"/>
        <w:rPr>
          <w:sz w:val="20"/>
          <w:szCs w:val="20"/>
          <w:color w:val="auto"/>
        </w:rPr>
      </w:pPr>
    </w:p>
    <w:p>
      <w:pPr>
        <w:ind w:left="80" w:right="300" w:hanging="8"/>
        <w:spacing w:after="0" w:line="223" w:lineRule="auto"/>
        <w:tabs>
          <w:tab w:leader="none" w:pos="4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listed in the Index to Consolidated Financial Statements included in the table of contents are filed as part of this report.</w:t>
      </w:r>
    </w:p>
    <w:p>
      <w:pPr>
        <w:ind w:left="80" w:right="1020" w:hanging="8"/>
        <w:spacing w:after="0" w:line="222" w:lineRule="auto"/>
        <w:tabs>
          <w:tab w:leader="none" w:pos="4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were omitted because they are not applicable, are not required, or the required information is shown in the consolidated financial statements or notes thereto.</w:t>
      </w:r>
    </w:p>
    <w:p>
      <w:pPr>
        <w:spacing w:after="0" w:line="1" w:lineRule="exact"/>
        <w:rPr>
          <w:rFonts w:ascii="Times New Roman" w:cs="Times New Roman" w:eastAsia="Times New Roman" w:hAnsi="Times New Roman"/>
          <w:sz w:val="18"/>
          <w:szCs w:val="18"/>
          <w:color w:val="auto"/>
        </w:rPr>
      </w:pPr>
    </w:p>
    <w:p>
      <w:pPr>
        <w:ind w:left="460" w:hanging="388"/>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44" w:lineRule="exact"/>
        <w:rPr>
          <w:sz w:val="20"/>
          <w:szCs w:val="20"/>
          <w:color w:val="auto"/>
        </w:rPr>
      </w:pPr>
    </w:p>
    <w:p>
      <w:pPr>
        <w:jc w:val="both"/>
        <w:ind w:right="100"/>
        <w:spacing w:after="0" w:line="232" w:lineRule="auto"/>
        <w:rPr>
          <w:sz w:val="20"/>
          <w:szCs w:val="20"/>
          <w:color w:val="auto"/>
        </w:rPr>
      </w:pPr>
      <w:r>
        <w:rPr>
          <w:rFonts w:ascii="Times New Roman" w:cs="Times New Roman" w:eastAsia="Times New Roman" w:hAnsi="Times New Roman"/>
          <w:sz w:val="18"/>
          <w:szCs w:val="18"/>
          <w:color w:val="auto"/>
        </w:rPr>
        <w:t>Exhibits marked with an asterisk (*) are incorporated by reference to documents previously filed by the Company with the SEC, as indicated. In accordance with Regulation S-T, the XBRL-related information marked with a double asterisk (**) in Exhibit No. 101 to this Annual Report on Form 10-K is deemed filed. Exhibits marked with three asterisks (***) are furnished with this report. All other documents are filed with this report. Exhibits marked with a tilde (~) are management contracts, compensatory plan contracts or arrangements filed pursuant to Item 601(b)(10)(iii)(A) of Regulation S-K.</w:t>
      </w:r>
    </w:p>
    <w:p>
      <w:pPr>
        <w:spacing w:after="0" w:line="359" w:lineRule="exact"/>
        <w:rPr>
          <w:sz w:val="20"/>
          <w:szCs w:val="20"/>
          <w:color w:val="auto"/>
        </w:rPr>
      </w:pPr>
    </w:p>
    <w:p>
      <w:pPr>
        <w:ind w:left="140"/>
        <w:spacing w:after="0"/>
        <w:tabs>
          <w:tab w:leader="none" w:pos="1240" w:val="left"/>
        </w:tabs>
        <w:rPr>
          <w:sz w:val="20"/>
          <w:szCs w:val="20"/>
          <w:color w:val="auto"/>
        </w:rPr>
      </w:pPr>
      <w:r>
        <w:rPr>
          <w:rFonts w:ascii="Times New Roman" w:cs="Times New Roman" w:eastAsia="Times New Roman" w:hAnsi="Times New Roman"/>
          <w:sz w:val="14"/>
          <w:szCs w:val="14"/>
          <w:b w:val="1"/>
          <w:bCs w:val="1"/>
          <w:color w:val="auto"/>
        </w:rPr>
        <w:t>Exhibit 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97090" cy="2527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7090" cy="252730"/>
                    </a:xfrm>
                    <a:prstGeom prst="rect">
                      <a:avLst/>
                    </a:prstGeom>
                    <a:noFill/>
                  </pic:spPr>
                </pic:pic>
              </a:graphicData>
            </a:graphic>
          </wp:anchor>
        </w:drawing>
      </w:r>
    </w:p>
    <w:p>
      <w:pPr>
        <w:sectPr>
          <w:pgSz w:w="11900" w:h="16838" w:orient="portrait"/>
          <w:cols w:equalWidth="0" w:num="1">
            <w:col w:w="11340"/>
          </w:cols>
          <w:pgMar w:left="320" w:top="108" w:right="239" w:bottom="1440" w:gutter="0" w:footer="0" w:header="0"/>
        </w:sectPr>
      </w:pP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  *</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  *</w:t>
      </w: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  *</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  *</w:t>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3.5  *</w:t>
      </w: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3.6  *</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3.7  *</w:t>
      </w:r>
    </w:p>
    <w:p>
      <w:pPr>
        <w:ind w:left="20"/>
        <w:spacing w:after="0" w:line="230" w:lineRule="auto"/>
        <w:rPr>
          <w:sz w:val="20"/>
          <w:szCs w:val="20"/>
          <w:color w:val="auto"/>
        </w:rPr>
      </w:pPr>
      <w:r>
        <w:rPr>
          <w:rFonts w:ascii="Times New Roman" w:cs="Times New Roman" w:eastAsia="Times New Roman" w:hAnsi="Times New Roman"/>
          <w:sz w:val="18"/>
          <w:szCs w:val="18"/>
          <w:color w:val="auto"/>
        </w:rPr>
        <w:t>4.1  *</w:t>
      </w:r>
    </w:p>
    <w:p>
      <w:pPr>
        <w:ind w:left="20"/>
        <w:spacing w:after="0"/>
        <w:rPr>
          <w:sz w:val="20"/>
          <w:szCs w:val="20"/>
          <w:color w:val="auto"/>
        </w:rPr>
      </w:pPr>
      <w:r>
        <w:rPr>
          <w:rFonts w:ascii="Times New Roman" w:cs="Times New Roman" w:eastAsia="Times New Roman" w:hAnsi="Times New Roman"/>
          <w:sz w:val="17"/>
          <w:szCs w:val="17"/>
          <w:color w:val="auto"/>
        </w:rPr>
        <w:t>10.1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Certificate of Formation of A. H. Belo Corporation (successor to A. H. Belo Texas, Inc.) (Exhibit 3.1 to the Company’s Current Report on</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Form 8-K filed with the Securities and Exchange Commission on April 23, 2018)</w:t>
        </w:r>
      </w:hyperlink>
    </w:p>
    <w:p>
      <w:pPr>
        <w:spacing w:after="0" w:line="1" w:lineRule="exact"/>
        <w:rPr>
          <w:sz w:val="20"/>
          <w:szCs w:val="20"/>
          <w:color w:val="auto"/>
        </w:rPr>
      </w:pPr>
    </w:p>
    <w:p>
      <w:pPr>
        <w:spacing w:after="0" w:line="235" w:lineRule="auto"/>
        <w:rPr>
          <w:rFonts w:ascii="Times New Roman" w:cs="Times New Roman" w:eastAsia="Times New Roman" w:hAnsi="Times New Roman"/>
          <w:sz w:val="17"/>
          <w:szCs w:val="17"/>
          <w:u w:val="single" w:color="auto"/>
          <w:color w:val="0000FF"/>
        </w:rPr>
      </w:pPr>
      <w:hyperlink r:id="rId57">
        <w:r>
          <w:rPr>
            <w:rFonts w:ascii="Times New Roman" w:cs="Times New Roman" w:eastAsia="Times New Roman" w:hAnsi="Times New Roman"/>
            <w:sz w:val="17"/>
            <w:szCs w:val="17"/>
            <w:u w:val="single" w:color="auto"/>
            <w:color w:val="0000FF"/>
          </w:rPr>
          <w:t>Certificate of Merger (Delaware) of A. H. Belo Corporation with and into A. H. Belo Texas, Inc. (Exhibit 3.3 to the Company’s Current</w:t>
        </w:r>
      </w:hyperlink>
      <w:r>
        <w:rPr>
          <w:rFonts w:ascii="Times New Roman" w:cs="Times New Roman" w:eastAsia="Times New Roman" w:hAnsi="Times New Roman"/>
          <w:sz w:val="17"/>
          <w:szCs w:val="17"/>
          <w:u w:val="single" w:color="auto"/>
          <w:color w:val="0000FF"/>
        </w:rPr>
        <w:t xml:space="preserve"> </w:t>
      </w:r>
      <w:hyperlink r:id="rId57">
        <w:r>
          <w:rPr>
            <w:rFonts w:ascii="Times New Roman" w:cs="Times New Roman" w:eastAsia="Times New Roman" w:hAnsi="Times New Roman"/>
            <w:sz w:val="17"/>
            <w:szCs w:val="17"/>
            <w:u w:val="single" w:color="auto"/>
            <w:color w:val="0000FF"/>
          </w:rPr>
          <w:t>Report on Form 8-K filed with the Securities and Exchange Commission on July 2, 2018 (Securities and Exchange Commission File No. 001-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-133985</wp:posOffset>
            </wp:positionV>
            <wp:extent cx="63855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38556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-16510</wp:posOffset>
            </wp:positionV>
            <wp:extent cx="63817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381750" cy="8255"/>
                    </a:xfrm>
                    <a:prstGeom prst="rect">
                      <a:avLst/>
                    </a:prstGeom>
                    <a:noFill/>
                  </pic:spPr>
                </pic:pic>
              </a:graphicData>
            </a:graphic>
          </wp:anchor>
        </w:drawing>
      </w:r>
    </w:p>
    <w:p>
      <w:pPr>
        <w:spacing w:after="0" w:line="216" w:lineRule="auto"/>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33741) (the “July 2, 2018 Form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17468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746885" cy="8255"/>
                    </a:xfrm>
                    <a:prstGeom prst="rect">
                      <a:avLst/>
                    </a:prstGeom>
                    <a:noFill/>
                  </pic:spPr>
                </pic:pic>
              </a:graphicData>
            </a:graphic>
          </wp:anchor>
        </w:drawing>
      </w:r>
    </w:p>
    <w:p>
      <w:pPr>
        <w:spacing w:after="0" w:line="231" w:lineRule="auto"/>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Certificate of Merger (Texas) of A. H. Belo Corporation with and into A. H. Belo Texas, Inc. (Exhibit 3.4 to the July 2, 2018 Form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-118110</wp:posOffset>
            </wp:positionV>
            <wp:extent cx="7197090" cy="1263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97090" cy="126365"/>
                    </a:xfrm>
                    <a:prstGeom prst="rect">
                      <a:avLst/>
                    </a:prstGeom>
                    <a:noFill/>
                  </pic:spPr>
                </pic:pic>
              </a:graphicData>
            </a:graphic>
          </wp:anchor>
        </w:drawing>
      </w:r>
    </w:p>
    <w:p>
      <w:pPr>
        <w:spacing w:after="0" w:line="222" w:lineRule="auto"/>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Certificate of Amendment to Certificate of Formation effective June 8, 2021 (Exhibit 3.1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with the Securities and Exchange Commission on June 8, 2021 (Securities and Exchange Commission File No. 001-33741))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-133985</wp:posOffset>
            </wp:positionV>
            <wp:extent cx="63855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638556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-16510</wp:posOffset>
            </wp:positionV>
            <wp:extent cx="55746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5574665" cy="8255"/>
                    </a:xfrm>
                    <a:prstGeom prst="rect">
                      <a:avLst/>
                    </a:prstGeom>
                    <a:noFill/>
                  </pic:spPr>
                </pic:pic>
              </a:graphicData>
            </a:graphic>
          </wp:anchor>
        </w:drawing>
      </w:r>
    </w:p>
    <w:p>
      <w:pPr>
        <w:ind w:right="20"/>
        <w:spacing w:after="0" w:line="235" w:lineRule="auto"/>
        <w:rPr>
          <w:rFonts w:ascii="Times New Roman" w:cs="Times New Roman" w:eastAsia="Times New Roman" w:hAnsi="Times New Roman"/>
          <w:sz w:val="17"/>
          <w:szCs w:val="17"/>
          <w:u w:val="single" w:color="auto"/>
          <w:color w:val="0000FF"/>
        </w:rPr>
      </w:pPr>
      <w:hyperlink r:id="rId66">
        <w:r>
          <w:rPr>
            <w:rFonts w:ascii="Times New Roman" w:cs="Times New Roman" w:eastAsia="Times New Roman" w:hAnsi="Times New Roman"/>
            <w:sz w:val="17"/>
            <w:szCs w:val="17"/>
            <w:u w:val="single" w:color="auto"/>
            <w:color w:val="0000FF"/>
          </w:rPr>
          <w:t>Certificate of Amendment to Certificate of Formation (changing Company name to DallasNews Corporation) effective June 29, 2021 (Exhibit</w:t>
        </w:r>
      </w:hyperlink>
      <w:r>
        <w:rPr>
          <w:rFonts w:ascii="Times New Roman" w:cs="Times New Roman" w:eastAsia="Times New Roman" w:hAnsi="Times New Roman"/>
          <w:sz w:val="17"/>
          <w:szCs w:val="17"/>
          <w:u w:val="single" w:color="auto"/>
          <w:color w:val="0000FF"/>
        </w:rPr>
        <w:t xml:space="preserve"> </w:t>
      </w:r>
      <w:hyperlink r:id="rId66">
        <w:r>
          <w:rPr>
            <w:rFonts w:ascii="Times New Roman" w:cs="Times New Roman" w:eastAsia="Times New Roman" w:hAnsi="Times New Roman"/>
            <w:sz w:val="17"/>
            <w:szCs w:val="17"/>
            <w:u w:val="single" w:color="auto"/>
            <w:color w:val="0000FF"/>
          </w:rPr>
          <w:t>3.1 to the Company’s Current Report of Form 8-K filed with the Securities and Exchange Commission on June 30, 2021 (Securities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-234950</wp:posOffset>
            </wp:positionV>
            <wp:extent cx="7197090" cy="3619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97090" cy="361950"/>
                    </a:xfrm>
                    <a:prstGeom prst="rect">
                      <a:avLst/>
                    </a:prstGeom>
                    <a:noFill/>
                  </pic:spPr>
                </pic:pic>
              </a:graphicData>
            </a:graphic>
          </wp:anchor>
        </w:drawing>
      </w:r>
    </w:p>
    <w:p>
      <w:pPr>
        <w:spacing w:after="0" w:line="216" w:lineRule="auto"/>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Exchange Commission File No. 001-33741) (the “June 30, 2021 Form 8-K”))</w:t>
        </w:r>
      </w:hyperlink>
    </w:p>
    <w:p>
      <w:pPr>
        <w:spacing w:after="0" w:line="231" w:lineRule="auto"/>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Certificate of Correction to Certificate of Amendment (Exhibit 3.2 to the June 30, 2021 Form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44316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30" w:lineRule="auto"/>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Amended and Restated Bylaws of DallasNews Corporation (Exhibit 3.3 to the June 30, 2021 Form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-118110</wp:posOffset>
            </wp:positionV>
            <wp:extent cx="7197090" cy="1263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97090" cy="126365"/>
                    </a:xfrm>
                    <a:prstGeom prst="rect">
                      <a:avLst/>
                    </a:prstGeom>
                    <a:noFill/>
                  </pic:spPr>
                </pic:pic>
              </a:graphicData>
            </a:graphic>
          </wp:anchor>
        </w:drawing>
      </w:r>
    </w:p>
    <w:p>
      <w:pPr>
        <w:spacing w:after="0" w:line="231" w:lineRule="auto"/>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Description of Capital Stock (Exhibit 4.1 to the July 2, 2018 Form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2143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30" w:lineRule="auto"/>
        <w:rPr>
          <w:sz w:val="20"/>
          <w:szCs w:val="20"/>
          <w:color w:val="auto"/>
        </w:rPr>
      </w:pPr>
      <w:r>
        <w:rPr>
          <w:rFonts w:ascii="Times New Roman" w:cs="Times New Roman" w:eastAsia="Times New Roman" w:hAnsi="Times New Roman"/>
          <w:sz w:val="18"/>
          <w:szCs w:val="18"/>
          <w:color w:val="auto"/>
        </w:rPr>
        <w:t>Material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-118110</wp:posOffset>
            </wp:positionV>
            <wp:extent cx="7197090" cy="1263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97090" cy="126365"/>
                    </a:xfrm>
                    <a:prstGeom prst="rect">
                      <a:avLst/>
                    </a:prstGeom>
                    <a:noFill/>
                  </pic:spPr>
                </pic:pic>
              </a:graphicData>
            </a:graphic>
          </wp:anchor>
        </w:drawing>
      </w:r>
    </w:p>
    <w:p>
      <w:pPr>
        <w:ind w:left="600" w:hanging="480"/>
        <w:spacing w:after="0" w:line="220" w:lineRule="auto"/>
        <w:tabs>
          <w:tab w:leader="none" w:pos="363" w:val="left"/>
        </w:tabs>
        <w:numPr>
          <w:ilvl w:val="0"/>
          <w:numId w:val="1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u w:val="single" w:color="auto"/>
            <w:color w:val="0000FF"/>
          </w:rPr>
          <w:t>Sublease Agreement for Old Dallas Library Building dated December 30, 2016 (Exhibit 10.1 to the Company’s Current Report on</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u w:val="single" w:color="auto"/>
            <w:color w:val="0000FF"/>
          </w:rPr>
          <w:t>Form 8-K filed with the Securities and Exchange Commission on January 3, 2017 (Securities and Exchange Commission File</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No. 001-33741) (the “January 3, 2017 Form 8-K”))</w:t>
        </w:r>
      </w:hyperlink>
    </w:p>
    <w:p>
      <w:pPr>
        <w:ind w:left="380" w:hanging="260"/>
        <w:spacing w:after="0" w:line="230"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u w:val="single" w:color="auto"/>
            <w:color w:val="0000FF"/>
          </w:rPr>
          <w:t>Guaranty of Lease dated December 30, 2016 (Exhibit 10.2 to the January 3, 2017 Form 8-K)</w:t>
        </w:r>
      </w:hyperlink>
    </w:p>
    <w:p>
      <w:pPr>
        <w:ind w:left="600" w:right="20" w:hanging="480"/>
        <w:spacing w:after="0" w:line="230" w:lineRule="auto"/>
        <w:tabs>
          <w:tab w:leader="none" w:pos="363" w:val="left"/>
        </w:tabs>
        <w:numPr>
          <w:ilvl w:val="0"/>
          <w:numId w:val="1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u w:val="single" w:color="auto"/>
            <w:color w:val="0000FF"/>
          </w:rPr>
          <w:t>Paper Supply Agreement effective as of August 5, 2019, by and between The Dallas Morning News, Inc. and Gannett Supply</w:t>
        </w:r>
      </w:hyperlink>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u w:val="single" w:color="auto"/>
            <w:color w:val="0000FF"/>
          </w:rPr>
          <w:t>Corporation (Exhibit 10.1 to the Company’s Current Report on Form 8-K filed with the Securities and Exchange Commission on</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May 6, 2019 (Securities and Exchange Commission File No. 001-33741))</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385445</wp:posOffset>
            </wp:positionH>
            <wp:positionV relativeFrom="paragraph">
              <wp:posOffset>-756920</wp:posOffset>
            </wp:positionV>
            <wp:extent cx="59937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599376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wp:posOffset>
            </wp:positionH>
            <wp:positionV relativeFrom="paragraph">
              <wp:posOffset>-638810</wp:posOffset>
            </wp:positionV>
            <wp:extent cx="59969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996940" cy="825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-513080</wp:posOffset>
            </wp:positionV>
            <wp:extent cx="7197090" cy="142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97090" cy="142875"/>
                    </a:xfrm>
                    <a:prstGeom prst="rect">
                      <a:avLst/>
                    </a:prstGeom>
                    <a:noFill/>
                  </pic:spPr>
                </pic:pic>
              </a:graphicData>
            </a:graphic>
          </wp:anchor>
        </w:drawing>
        <w:drawing>
          <wp:anchor simplePos="0" relativeHeight="251657728" behindDoc="1" locked="0" layoutInCell="0" allowOverlap="1">
            <wp:simplePos x="0" y="0"/>
            <wp:positionH relativeFrom="column">
              <wp:posOffset>385445</wp:posOffset>
            </wp:positionH>
            <wp:positionV relativeFrom="paragraph">
              <wp:posOffset>-268605</wp:posOffset>
            </wp:positionV>
            <wp:extent cx="59931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993130" cy="8255"/>
                    </a:xfrm>
                    <a:prstGeom prst="rect">
                      <a:avLst/>
                    </a:prstGeom>
                    <a:noFill/>
                  </pic:spPr>
                </pic:pic>
              </a:graphicData>
            </a:graphic>
          </wp:anchor>
        </w:drawing>
        <w:drawing>
          <wp:anchor simplePos="0" relativeHeight="251657728" behindDoc="1" locked="0" layoutInCell="0" allowOverlap="1">
            <wp:simplePos x="0" y="0"/>
            <wp:positionH relativeFrom="column">
              <wp:posOffset>385445</wp:posOffset>
            </wp:positionH>
            <wp:positionV relativeFrom="paragraph">
              <wp:posOffset>-151130</wp:posOffset>
            </wp:positionV>
            <wp:extent cx="5991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5991860" cy="8255"/>
                    </a:xfrm>
                    <a:prstGeom prst="rect">
                      <a:avLst/>
                    </a:prstGeom>
                    <a:noFill/>
                  </pic:spPr>
                </pic:pic>
              </a:graphicData>
            </a:graphic>
          </wp:anchor>
        </w:drawing>
        <w:drawing>
          <wp:anchor simplePos="0" relativeHeight="251657728" behindDoc="1" locked="0" layoutInCell="0" allowOverlap="1">
            <wp:simplePos x="0" y="0"/>
            <wp:positionH relativeFrom="column">
              <wp:posOffset>385445</wp:posOffset>
            </wp:positionH>
            <wp:positionV relativeFrom="paragraph">
              <wp:posOffset>-24765</wp:posOffset>
            </wp:positionV>
            <wp:extent cx="33166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3316605"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ectPr>
          <w:pgSz w:w="11900" w:h="16838" w:orient="portrait"/>
          <w:cols w:equalWidth="0" w:num="2">
            <w:col w:w="560" w:space="720"/>
            <w:col w:w="10060"/>
          </w:cols>
          <w:pgMar w:left="320" w:top="108" w:right="239" w:bottom="1440" w:gutter="0" w:footer="0" w:header="0"/>
          <w:type w:val="continuous"/>
        </w:sectPr>
      </w:pPr>
    </w:p>
    <w:p>
      <w:pPr>
        <w:spacing w:after="0" w:line="200" w:lineRule="exact"/>
        <w:rPr>
          <w:rFonts w:ascii="Times New Roman" w:cs="Times New Roman" w:eastAsia="Times New Roman" w:hAnsi="Times New Roman"/>
          <w:sz w:val="18"/>
          <w:szCs w:val="18"/>
          <w:color w:val="auto"/>
        </w:rPr>
      </w:pPr>
    </w:p>
    <w:p>
      <w:pPr>
        <w:spacing w:after="0" w:line="255" w:lineRule="exact"/>
        <w:rPr>
          <w:rFonts w:ascii="Times New Roman" w:cs="Times New Roman" w:eastAsia="Times New Roman" w:hAnsi="Times New Roman"/>
          <w:sz w:val="18"/>
          <w:szCs w:val="18"/>
          <w:color w:val="auto"/>
        </w:rPr>
      </w:pPr>
    </w:p>
    <w:p>
      <w:pPr>
        <w:ind w:left="5940"/>
        <w:spacing w:after="0"/>
        <w:tabs>
          <w:tab w:leader="none" w:pos="1052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21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08" w:right="2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97090" cy="134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97090" cy="134620"/>
                    </a:xfrm>
                    <a:prstGeom prst="rect">
                      <a:avLst/>
                    </a:prstGeom>
                    <a:noFill/>
                  </pic:spPr>
                </pic:pic>
              </a:graphicData>
            </a:graphic>
          </wp:anchor>
        </w:drawing>
      </w: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10.2 *</w:t>
      </w:r>
      <w:r>
        <w:rPr>
          <w:sz w:val="20"/>
          <w:szCs w:val="20"/>
          <w:color w:val="auto"/>
        </w:rPr>
        <w:tab/>
      </w:r>
      <w:r>
        <w:rPr>
          <w:rFonts w:ascii="Times New Roman" w:cs="Times New Roman" w:eastAsia="Times New Roman" w:hAnsi="Times New Roman"/>
          <w:sz w:val="17"/>
          <w:szCs w:val="17"/>
          <w:color w:val="auto"/>
        </w:rPr>
        <w:t>Compensatory plans and arrangements:</w:t>
      </w:r>
    </w:p>
    <w:p>
      <w:pPr>
        <w:jc w:val="center"/>
        <w:ind w:left="1600" w:right="60"/>
        <w:spacing w:after="0" w:line="235" w:lineRule="auto"/>
        <w:tabs>
          <w:tab w:leader="none" w:pos="1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w:t>
      </w:r>
      <w:r>
        <w:rPr>
          <w:sz w:val="20"/>
          <w:szCs w:val="20"/>
          <w:color w:val="auto"/>
        </w:rPr>
        <w:tab/>
      </w:r>
      <w:hyperlink r:id="rId87">
        <w:r>
          <w:rPr>
            <w:rFonts w:ascii="Times New Roman" w:cs="Times New Roman" w:eastAsia="Times New Roman" w:hAnsi="Times New Roman"/>
            <w:sz w:val="17"/>
            <w:szCs w:val="17"/>
            <w:u w:val="single" w:color="auto"/>
            <w:color w:val="0000FF"/>
          </w:rPr>
          <w:t>DallasNews Savings Plan as Amended and Restated Effective January 1, 2022 (Exhibit 10.2(1) to the Company’s Quarterly Report on Form</w:t>
        </w:r>
      </w:hyperlink>
      <w:r>
        <w:rPr>
          <w:rFonts w:ascii="Times New Roman" w:cs="Times New Roman" w:eastAsia="Times New Roman" w:hAnsi="Times New Roman"/>
          <w:sz w:val="17"/>
          <w:szCs w:val="17"/>
          <w:u w:val="single" w:color="auto"/>
          <w:color w:val="0000FF"/>
        </w:rPr>
        <w:t xml:space="preserve"> </w:t>
      </w:r>
      <w:hyperlink r:id="rId87">
        <w:r>
          <w:rPr>
            <w:rFonts w:ascii="Times New Roman" w:cs="Times New Roman" w:eastAsia="Times New Roman" w:hAnsi="Times New Roman"/>
            <w:sz w:val="17"/>
            <w:szCs w:val="17"/>
            <w:u w:val="single" w:color="auto"/>
            <w:color w:val="0000FF"/>
          </w:rPr>
          <w:t>Q filed with the Securities and Exchange Commission on July 29, 2022 (Securities and Exchange Commission File No. 001-33741))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-133985</wp:posOffset>
            </wp:positionV>
            <wp:extent cx="63474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6347460"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-16510</wp:posOffset>
            </wp:positionV>
            <wp:extent cx="59550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5955030" cy="8255"/>
                    </a:xfrm>
                    <a:prstGeom prst="rect">
                      <a:avLst/>
                    </a:prstGeom>
                    <a:noFill/>
                  </pic:spPr>
                </pic:pic>
              </a:graphicData>
            </a:graphic>
          </wp:anchor>
        </w:drawing>
      </w:r>
    </w:p>
    <w:p>
      <w:pPr>
        <w:jc w:val="both"/>
        <w:ind w:left="1340" w:hanging="499"/>
        <w:spacing w:after="0" w:line="235" w:lineRule="auto"/>
        <w:tabs>
          <w:tab w:leader="none" w:pos="13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~(2)*</w:t>
      </w:r>
      <w:r>
        <w:rPr>
          <w:sz w:val="20"/>
          <w:szCs w:val="20"/>
          <w:color w:val="auto"/>
        </w:rPr>
        <w:tab/>
      </w:r>
      <w:hyperlink r:id="rId90">
        <w:r>
          <w:rPr>
            <w:rFonts w:ascii="Times New Roman" w:cs="Times New Roman" w:eastAsia="Times New Roman" w:hAnsi="Times New Roman"/>
            <w:sz w:val="17"/>
            <w:szCs w:val="17"/>
            <w:u w:val="single" w:color="auto"/>
            <w:color w:val="0000FF"/>
          </w:rPr>
          <w:t>Amended and Restated DallasNews Corporation Incentive Compensation Plan, dated February 29, 2024 (Exhibit 10.2 to the Compan</w:t>
        </w:r>
      </w:hyperlink>
      <w:r>
        <w:rPr>
          <w:rFonts w:ascii="Times New Roman" w:cs="Times New Roman" w:eastAsia="Times New Roman" w:hAnsi="Times New Roman"/>
          <w:sz w:val="17"/>
          <w:szCs w:val="17"/>
          <w:u w:val="single" w:color="auto"/>
          <w:color w:val="0000FF"/>
        </w:rPr>
        <w:t xml:space="preserve"> </w:t>
      </w:r>
      <w:hyperlink r:id="rId90">
        <w:r>
          <w:rPr>
            <w:rFonts w:ascii="Times New Roman" w:cs="Times New Roman" w:eastAsia="Times New Roman" w:hAnsi="Times New Roman"/>
            <w:sz w:val="17"/>
            <w:szCs w:val="17"/>
            <w:u w:val="single" w:color="auto"/>
            <w:color w:val="0000FF"/>
          </w:rPr>
          <w:t>Current Report on Form 8-K filed with the Securities and Exchange Commission on March 1, 2024 (Securities and Exchange Commission 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197090" cy="3619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197090" cy="361950"/>
                    </a:xfrm>
                    <a:prstGeom prst="rect">
                      <a:avLst/>
                    </a:prstGeom>
                    <a:noFill/>
                  </pic:spPr>
                </pic:pic>
              </a:graphicData>
            </a:graphic>
          </wp:anchor>
        </w:drawing>
      </w:r>
    </w:p>
    <w:p>
      <w:pPr>
        <w:ind w:left="1340"/>
        <w:spacing w:after="0" w:line="216" w:lineRule="auto"/>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No. 001-33741) (the “March 1, 2024 Form 8-K”))</w:t>
        </w:r>
      </w:hyperlink>
    </w:p>
    <w:p>
      <w:pPr>
        <w:spacing w:after="0" w:line="1" w:lineRule="exact"/>
        <w:rPr>
          <w:sz w:val="20"/>
          <w:szCs w:val="20"/>
          <w:color w:val="auto"/>
        </w:rPr>
      </w:pPr>
    </w:p>
    <w:p>
      <w:pPr>
        <w:jc w:val="both"/>
        <w:ind w:left="1860" w:hanging="419"/>
        <w:spacing w:after="0" w:line="235" w:lineRule="auto"/>
        <w:tabs>
          <w:tab w:leader="none" w:pos="1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*(a)</w:t>
      </w:r>
      <w:r>
        <w:rPr>
          <w:sz w:val="20"/>
          <w:szCs w:val="20"/>
          <w:color w:val="auto"/>
        </w:rPr>
        <w:tab/>
      </w:r>
      <w:hyperlink r:id="rId92">
        <w:r>
          <w:rPr>
            <w:rFonts w:ascii="Times New Roman" w:cs="Times New Roman" w:eastAsia="Times New Roman" w:hAnsi="Times New Roman"/>
            <w:sz w:val="17"/>
            <w:szCs w:val="17"/>
            <w:u w:val="single" w:color="auto"/>
            <w:color w:val="0000FF"/>
          </w:rPr>
          <w:t>Form of Incentive Compensation Plan Evidence of Grant (for Non-Employee Directors) (Exhibit 10.1 to the Company’s Current Rep</w:t>
        </w:r>
      </w:hyperlink>
      <w:r>
        <w:rPr>
          <w:rFonts w:ascii="Times New Roman" w:cs="Times New Roman" w:eastAsia="Times New Roman" w:hAnsi="Times New Roman"/>
          <w:sz w:val="17"/>
          <w:szCs w:val="17"/>
          <w:u w:val="single" w:color="auto"/>
          <w:color w:val="0000FF"/>
        </w:rPr>
        <w:t xml:space="preserve"> </w:t>
      </w:r>
      <w:hyperlink r:id="rId92">
        <w:r>
          <w:rPr>
            <w:rFonts w:ascii="Times New Roman" w:cs="Times New Roman" w:eastAsia="Times New Roman" w:hAnsi="Times New Roman"/>
            <w:sz w:val="17"/>
            <w:szCs w:val="17"/>
            <w:u w:val="single" w:color="auto"/>
            <w:color w:val="0000FF"/>
          </w:rPr>
          <w:t>on Form 8-K filed with the Securities and Exchange Commission on May 12, 2017 (Securities and Exchange Commission File No. 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1181735</wp:posOffset>
            </wp:positionH>
            <wp:positionV relativeFrom="paragraph">
              <wp:posOffset>-133985</wp:posOffset>
            </wp:positionV>
            <wp:extent cx="60191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6019165" cy="8255"/>
                    </a:xfrm>
                    <a:prstGeom prst="rect">
                      <a:avLst/>
                    </a:prstGeom>
                    <a:noFill/>
                  </pic:spPr>
                </pic:pic>
              </a:graphicData>
            </a:graphic>
          </wp:anchor>
        </w:drawing>
        <w:drawing>
          <wp:anchor simplePos="0" relativeHeight="251657728" behindDoc="1" locked="0" layoutInCell="0" allowOverlap="1">
            <wp:simplePos x="0" y="0"/>
            <wp:positionH relativeFrom="column">
              <wp:posOffset>1181735</wp:posOffset>
            </wp:positionH>
            <wp:positionV relativeFrom="paragraph">
              <wp:posOffset>-16510</wp:posOffset>
            </wp:positionV>
            <wp:extent cx="60191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6019165" cy="8255"/>
                    </a:xfrm>
                    <a:prstGeom prst="rect">
                      <a:avLst/>
                    </a:prstGeom>
                    <a:noFill/>
                  </pic:spPr>
                </pic:pic>
              </a:graphicData>
            </a:graphic>
          </wp:anchor>
        </w:drawing>
      </w:r>
    </w:p>
    <w:p>
      <w:pPr>
        <w:ind w:left="1860"/>
        <w:spacing w:after="0" w:line="216" w:lineRule="auto"/>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33741) (the “May 12, 2017 Form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1181735</wp:posOffset>
            </wp:positionH>
            <wp:positionV relativeFrom="paragraph">
              <wp:posOffset>-8255</wp:posOffset>
            </wp:positionV>
            <wp:extent cx="18218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1821815" cy="8255"/>
                    </a:xfrm>
                    <a:prstGeom prst="rect">
                      <a:avLst/>
                    </a:prstGeom>
                    <a:noFill/>
                  </pic:spPr>
                </pic:pic>
              </a:graphicData>
            </a:graphic>
          </wp:anchor>
        </w:drawing>
      </w:r>
    </w:p>
    <w:p>
      <w:pPr>
        <w:ind w:left="1440"/>
        <w:spacing w:after="0" w:line="2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hyperlink r:id="rId96">
        <w:r>
          <w:rPr>
            <w:rFonts w:ascii="Times New Roman" w:cs="Times New Roman" w:eastAsia="Times New Roman" w:hAnsi="Times New Roman"/>
            <w:sz w:val="18"/>
            <w:szCs w:val="18"/>
            <w:u w:val="single" w:color="auto"/>
            <w:color w:val="0000FF"/>
          </w:rPr>
          <w:t>Form of Incentive Compensation Plan Evidence of Grant (for Employee Awards) (Exhibit 10.2 to the May 12, 2017 Form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97090" cy="1263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97090" cy="126365"/>
                    </a:xfrm>
                    <a:prstGeom prst="rect">
                      <a:avLst/>
                    </a:prstGeom>
                    <a:noFill/>
                  </pic:spPr>
                </pic:pic>
              </a:graphicData>
            </a:graphic>
          </wp:anchor>
        </w:drawing>
      </w:r>
    </w:p>
    <w:p>
      <w:pPr>
        <w:ind w:left="840"/>
        <w:spacing w:after="0" w:line="2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w:t>
      </w:r>
      <w:hyperlink r:id="rId98">
        <w:r>
          <w:rPr>
            <w:rFonts w:ascii="Times New Roman" w:cs="Times New Roman" w:eastAsia="Times New Roman" w:hAnsi="Times New Roman"/>
            <w:sz w:val="18"/>
            <w:szCs w:val="18"/>
            <w:u w:val="single" w:color="auto"/>
            <w:color w:val="0000FF"/>
          </w:rPr>
          <w:t>Discretionary Cash Bonus Policy, adopted February 29, 2024 (Exhibit 10.1 to the March 1, 2024 Form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-17145</wp:posOffset>
            </wp:positionV>
            <wp:extent cx="48450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4845050" cy="8255"/>
                    </a:xfrm>
                    <a:prstGeom prst="rect">
                      <a:avLst/>
                    </a:prstGeom>
                    <a:noFill/>
                  </pic:spPr>
                </pic:pic>
              </a:graphicData>
            </a:graphic>
          </wp:anchor>
        </w:drawing>
      </w:r>
    </w:p>
    <w:p>
      <w:pPr>
        <w:jc w:val="both"/>
        <w:ind w:left="1340" w:hanging="499"/>
        <w:spacing w:after="0" w:line="235" w:lineRule="auto"/>
        <w:tabs>
          <w:tab w:leader="none" w:pos="13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w:t>
      </w:r>
      <w:r>
        <w:rPr>
          <w:sz w:val="20"/>
          <w:szCs w:val="20"/>
          <w:color w:val="auto"/>
        </w:rPr>
        <w:tab/>
      </w:r>
      <w:hyperlink r:id="rId100">
        <w:r>
          <w:rPr>
            <w:rFonts w:ascii="Times New Roman" w:cs="Times New Roman" w:eastAsia="Times New Roman" w:hAnsi="Times New Roman"/>
            <w:sz w:val="17"/>
            <w:szCs w:val="17"/>
            <w:u w:val="single" w:color="auto"/>
            <w:color w:val="0000FF"/>
          </w:rPr>
          <w:t>Form of Cash Long-Term Incentive Compensation Evidence of Grant (for Employee Awards) (Exhibit 10.1 to the Company’s Annual Report</w:t>
        </w:r>
      </w:hyperlink>
      <w:r>
        <w:rPr>
          <w:rFonts w:ascii="Times New Roman" w:cs="Times New Roman" w:eastAsia="Times New Roman" w:hAnsi="Times New Roman"/>
          <w:sz w:val="17"/>
          <w:szCs w:val="17"/>
          <w:u w:val="single" w:color="auto"/>
          <w:color w:val="0000FF"/>
        </w:rPr>
        <w:t xml:space="preserve"> </w:t>
      </w:r>
      <w:hyperlink r:id="rId100">
        <w:r>
          <w:rPr>
            <w:rFonts w:ascii="Times New Roman" w:cs="Times New Roman" w:eastAsia="Times New Roman" w:hAnsi="Times New Roman"/>
            <w:sz w:val="17"/>
            <w:szCs w:val="17"/>
            <w:u w:val="single" w:color="auto"/>
            <w:color w:val="0000FF"/>
          </w:rPr>
          <w:t>Form 10-K filed with the Securities and Exchange Commission on March 14, 2019 (Securities and Exchange Commission File No. 001-3374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197090" cy="2438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97090" cy="243840"/>
                    </a:xfrm>
                    <a:prstGeom prst="rect">
                      <a:avLst/>
                    </a:prstGeom>
                    <a:noFill/>
                  </pic:spPr>
                </pic:pic>
              </a:graphicData>
            </a:graphic>
          </wp:anchor>
        </w:drawing>
      </w:r>
    </w:p>
    <w:p>
      <w:pPr>
        <w:jc w:val="both"/>
        <w:ind w:left="1340" w:hanging="499"/>
        <w:spacing w:after="0" w:line="235" w:lineRule="auto"/>
        <w:tabs>
          <w:tab w:leader="none" w:pos="13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~(5)*</w:t>
      </w:r>
      <w:r>
        <w:rPr>
          <w:sz w:val="20"/>
          <w:szCs w:val="20"/>
          <w:color w:val="auto"/>
        </w:rPr>
        <w:tab/>
      </w:r>
      <w:hyperlink r:id="rId102">
        <w:r>
          <w:rPr>
            <w:rFonts w:ascii="Times New Roman" w:cs="Times New Roman" w:eastAsia="Times New Roman" w:hAnsi="Times New Roman"/>
            <w:sz w:val="17"/>
            <w:szCs w:val="17"/>
            <w:u w:val="single" w:color="auto"/>
            <w:color w:val="0000FF"/>
          </w:rPr>
          <w:t>Robert W. Decherd Compensation Agreement dated May 12, 2022 (Exhibit 10.1 to the Company’s Current Report on Form 8-K filed with</w:t>
        </w:r>
      </w:hyperlink>
      <w:r>
        <w:rPr>
          <w:rFonts w:ascii="Times New Roman" w:cs="Times New Roman" w:eastAsia="Times New Roman" w:hAnsi="Times New Roman"/>
          <w:sz w:val="17"/>
          <w:szCs w:val="17"/>
          <w:u w:val="single" w:color="auto"/>
          <w:color w:val="0000FF"/>
        </w:rPr>
        <w:t xml:space="preserve"> </w:t>
      </w:r>
      <w:hyperlink r:id="rId102">
        <w:r>
          <w:rPr>
            <w:rFonts w:ascii="Times New Roman" w:cs="Times New Roman" w:eastAsia="Times New Roman" w:hAnsi="Times New Roman"/>
            <w:sz w:val="17"/>
            <w:szCs w:val="17"/>
            <w:u w:val="single" w:color="auto"/>
            <w:color w:val="0000FF"/>
          </w:rPr>
          <w:t>Securities and Exchange Commission on May 12, 2022 (Securities and Exchange Commission File No. 001-33741) (the “May 12, 2022 Fo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-133985</wp:posOffset>
            </wp:positionV>
            <wp:extent cx="63474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6347460"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-16510</wp:posOffset>
            </wp:positionV>
            <wp:extent cx="63474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6347460" cy="8255"/>
                    </a:xfrm>
                    <a:prstGeom prst="rect">
                      <a:avLst/>
                    </a:prstGeom>
                    <a:noFill/>
                  </pic:spPr>
                </pic:pic>
              </a:graphicData>
            </a:graphic>
          </wp:anchor>
        </w:drawing>
      </w:r>
    </w:p>
    <w:p>
      <w:pPr>
        <w:ind w:left="1340"/>
        <w:spacing w:after="0" w:line="216"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-8255</wp:posOffset>
            </wp:positionV>
            <wp:extent cx="2990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299085" cy="8255"/>
                    </a:xfrm>
                    <a:prstGeom prst="rect">
                      <a:avLst/>
                    </a:prstGeom>
                    <a:noFill/>
                  </pic:spPr>
                </pic:pic>
              </a:graphicData>
            </a:graphic>
          </wp:anchor>
        </w:drawing>
      </w:r>
    </w:p>
    <w:p>
      <w:pPr>
        <w:ind w:left="840"/>
        <w:spacing w:after="0" w:line="2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  </w:t>
      </w:r>
      <w:hyperlink r:id="rId106">
        <w:r>
          <w:rPr>
            <w:rFonts w:ascii="Times New Roman" w:cs="Times New Roman" w:eastAsia="Times New Roman" w:hAnsi="Times New Roman"/>
            <w:sz w:val="18"/>
            <w:szCs w:val="18"/>
            <w:u w:val="single" w:color="auto"/>
            <w:color w:val="0000FF"/>
          </w:rPr>
          <w:t>Grant S. Moise Compensation Agreement dated May 12, 2022 (Exhibit 10.2 to the May 12, 2022 Form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97090" cy="1263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7197090" cy="126365"/>
                    </a:xfrm>
                    <a:prstGeom prst="rect">
                      <a:avLst/>
                    </a:prstGeom>
                    <a:noFill/>
                  </pic:spPr>
                </pic:pic>
              </a:graphicData>
            </a:graphic>
          </wp:anchor>
        </w:drawing>
      </w: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  </w:t>
      </w:r>
      <w:hyperlink r:id="rId108">
        <w:r>
          <w:rPr>
            <w:rFonts w:ascii="Times New Roman" w:cs="Times New Roman" w:eastAsia="Times New Roman" w:hAnsi="Times New Roman"/>
            <w:sz w:val="18"/>
            <w:szCs w:val="18"/>
            <w:u w:val="single" w:color="auto"/>
            <w:color w:val="0000FF"/>
          </w:rPr>
          <w:t>Katy Murray Compensation Agreement dated May 12, 2022 (Exhibit 10.3 to the May 12, 2022 Form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97090" cy="1263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197090" cy="12636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-22225</wp:posOffset>
            </wp:positionV>
            <wp:extent cx="47745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ind w:left="20"/>
        <w:spacing w:after="0" w:line="233" w:lineRule="auto"/>
        <w:tabs>
          <w:tab w:leader="none" w:pos="720" w:val="left"/>
        </w:tabs>
        <w:rPr>
          <w:sz w:val="20"/>
          <w:szCs w:val="20"/>
          <w:color w:val="auto"/>
        </w:rPr>
      </w:pPr>
      <w:r>
        <w:rPr>
          <w:rFonts w:ascii="Times New Roman" w:cs="Times New Roman" w:eastAsia="Times New Roman" w:hAnsi="Times New Roman"/>
          <w:sz w:val="18"/>
          <w:szCs w:val="18"/>
          <w:color w:val="auto"/>
        </w:rPr>
        <w:t>10.3 *</w:t>
      </w:r>
      <w:r>
        <w:rPr>
          <w:sz w:val="20"/>
          <w:szCs w:val="20"/>
          <w:color w:val="auto"/>
        </w:rPr>
        <w:tab/>
      </w:r>
      <w:r>
        <w:rPr>
          <w:rFonts w:ascii="Times New Roman" w:cs="Times New Roman" w:eastAsia="Times New Roman" w:hAnsi="Times New Roman"/>
          <w:sz w:val="17"/>
          <w:szCs w:val="17"/>
          <w:color w:val="auto"/>
        </w:rPr>
        <w:t>Agreements relating to the separation of A. H. Belo from its former parent company:</w:t>
      </w:r>
    </w:p>
    <w:p>
      <w:pPr>
        <w:spacing w:after="0" w:line="1" w:lineRule="exact"/>
        <w:rPr>
          <w:sz w:val="20"/>
          <w:szCs w:val="20"/>
          <w:color w:val="auto"/>
        </w:rPr>
      </w:pPr>
    </w:p>
    <w:p>
      <w:pPr>
        <w:jc w:val="right"/>
        <w:ind w:left="920" w:right="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  </w:t>
      </w:r>
      <w:hyperlink r:id="rId111">
        <w:r>
          <w:rPr>
            <w:rFonts w:ascii="Times New Roman" w:cs="Times New Roman" w:eastAsia="Times New Roman" w:hAnsi="Times New Roman"/>
            <w:sz w:val="18"/>
            <w:szCs w:val="18"/>
            <w:u w:val="single" w:color="auto"/>
            <w:color w:val="0000FF"/>
          </w:rPr>
          <w:t>Pension Plan Transfer Agreement by and between Belo Corp. and A. H. Belo Corporation dated as of October 6, 2010 (Exhibit 10.1 to</w:t>
        </w:r>
      </w:hyperlink>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FF"/>
          </w:rPr>
          <w:t>Company’s current Report on Form 8-K filed with the Securities and Exchange Commission on October 8, 2010 (Securities and Excha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-133985</wp:posOffset>
            </wp:positionV>
            <wp:extent cx="63474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6347460"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-16510</wp:posOffset>
            </wp:positionV>
            <wp:extent cx="63474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6347460" cy="8255"/>
                    </a:xfrm>
                    <a:prstGeom prst="rect">
                      <a:avLst/>
                    </a:prstGeom>
                    <a:noFill/>
                  </pic:spPr>
                </pic:pic>
              </a:graphicData>
            </a:graphic>
          </wp:anchor>
        </w:drawing>
      </w:r>
    </w:p>
    <w:p>
      <w:pPr>
        <w:ind w:left="1340"/>
        <w:spacing w:after="0" w:line="216" w:lineRule="auto"/>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Commission File No. 001-33741))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-8255</wp:posOffset>
            </wp:positionV>
            <wp:extent cx="15513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jc w:val="right"/>
        <w:ind w:left="920" w:right="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(2)*  </w:t>
      </w:r>
      <w:hyperlink r:id="rId115">
        <w:r>
          <w:rPr>
            <w:rFonts w:ascii="Times New Roman" w:cs="Times New Roman" w:eastAsia="Times New Roman" w:hAnsi="Times New Roman"/>
            <w:sz w:val="18"/>
            <w:szCs w:val="18"/>
            <w:u w:val="single" w:color="auto"/>
            <w:color w:val="0000FF"/>
          </w:rPr>
          <w:t>Agreement among the Company, Belo Corp., and The Pension Benefit Guaranty Corporation, effective March 9, 2011 (Exhibit 10.3(6) to</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FF"/>
          </w:rPr>
          <w:t>Company’s Annual Report on Form 10-K filed with the Securities and Exchange Commission on March 11, 2011 (Securities and Excha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197090" cy="3619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7197090" cy="361950"/>
                    </a:xfrm>
                    <a:prstGeom prst="rect">
                      <a:avLst/>
                    </a:prstGeom>
                    <a:noFill/>
                  </pic:spPr>
                </pic:pic>
              </a:graphicData>
            </a:graphic>
          </wp:anchor>
        </w:drawing>
      </w:r>
    </w:p>
    <w:p>
      <w:pPr>
        <w:ind w:left="1340"/>
        <w:spacing w:after="0" w:line="216"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Commission File No. 001-33741))</w:t>
        </w:r>
      </w:hyperlink>
    </w:p>
    <w:p>
      <w:pPr>
        <w:ind w:left="1340" w:hanging="1321"/>
        <w:spacing w:after="0" w:line="231"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-17145</wp:posOffset>
            </wp:positionV>
            <wp:extent cx="12985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Grant Thornton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97090" cy="1263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197090" cy="126365"/>
                    </a:xfrm>
                    <a:prstGeom prst="rect">
                      <a:avLst/>
                    </a:prstGeom>
                    <a:noFill/>
                  </pic:spPr>
                </pic:pic>
              </a:graphicData>
            </a:graphic>
          </wp:anchor>
        </w:drawing>
      </w:r>
    </w:p>
    <w:p>
      <w:pPr>
        <w:ind w:left="1340" w:hanging="1321"/>
        <w:spacing w:after="0" w:line="198"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rPr>
        <w:t>Power of Attorney (set forth on the signature page(s) hereof)</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3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auto"/>
              </w:rPr>
              <w:t>31.1</w:t>
            </w:r>
          </w:p>
        </w:tc>
        <w:tc>
          <w:tcPr>
            <w:tcW w:w="10020" w:type="dxa"/>
            <w:vAlign w:val="bottom"/>
            <w:gridSpan w:val="6"/>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0000FF"/>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40"/>
        </w:trPr>
        <w:tc>
          <w:tcPr>
            <w:tcW w:w="1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2960" w:type="dxa"/>
            <w:vAlign w:val="bottom"/>
            <w:tcBorders>
              <w:right w:val="single" w:sz="8" w:color="0000FF"/>
            </w:tcBorders>
            <w:shd w:val="clear" w:color="auto" w:fill="0000FF"/>
          </w:tcPr>
          <w:p>
            <w:pPr>
              <w:spacing w:after="0"/>
              <w:rPr>
                <w:sz w:val="3"/>
                <w:szCs w:val="3"/>
                <w:color w:val="auto"/>
              </w:rPr>
            </w:pPr>
          </w:p>
        </w:tc>
        <w:tc>
          <w:tcPr>
            <w:tcW w:w="2740" w:type="dxa"/>
            <w:vAlign w:val="bottom"/>
            <w:tcBorders>
              <w:lef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9"/>
        </w:trPr>
        <w:tc>
          <w:tcPr>
            <w:tcW w:w="1340" w:type="dxa"/>
            <w:vAlign w:val="bottom"/>
          </w:tcPr>
          <w:p>
            <w:pPr>
              <w:ind w:left="20"/>
              <w:spacing w:after="0" w:line="139" w:lineRule="exact"/>
              <w:rPr>
                <w:sz w:val="20"/>
                <w:szCs w:val="20"/>
                <w:color w:val="auto"/>
              </w:rPr>
            </w:pPr>
            <w:r>
              <w:rPr>
                <w:rFonts w:ascii="Times New Roman" w:cs="Times New Roman" w:eastAsia="Times New Roman" w:hAnsi="Times New Roman"/>
                <w:sz w:val="15"/>
                <w:szCs w:val="15"/>
                <w:color w:val="auto"/>
              </w:rPr>
              <w:t>31.2</w:t>
            </w:r>
          </w:p>
        </w:tc>
        <w:tc>
          <w:tcPr>
            <w:tcW w:w="10020" w:type="dxa"/>
            <w:vAlign w:val="bottom"/>
            <w:gridSpan w:val="6"/>
          </w:tcPr>
          <w:p>
            <w:pPr>
              <w:spacing w:after="0" w:line="139" w:lineRule="exact"/>
              <w:rPr>
                <w:sz w:val="20"/>
                <w:szCs w:val="20"/>
                <w:color w:val="auto"/>
              </w:rPr>
            </w:pPr>
            <w:r>
              <w:rPr>
                <w:rFonts w:ascii="Times New Roman" w:cs="Times New Roman" w:eastAsia="Times New Roman" w:hAnsi="Times New Roman"/>
                <w:sz w:val="15"/>
                <w:szCs w:val="15"/>
                <w:color w:val="0000FF"/>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360" w:type="dxa"/>
            <w:vAlign w:val="bottom"/>
            <w:tcBorders>
              <w:right w:val="single" w:sz="8" w:color="0000FF"/>
            </w:tcBorders>
            <w:shd w:val="clear" w:color="auto" w:fill="0000FF"/>
          </w:tcPr>
          <w:p>
            <w:pPr>
              <w:spacing w:after="0" w:line="20" w:lineRule="exact"/>
              <w:rPr>
                <w:sz w:val="1"/>
                <w:szCs w:val="1"/>
                <w:color w:val="auto"/>
              </w:rPr>
            </w:pPr>
          </w:p>
        </w:tc>
        <w:tc>
          <w:tcPr>
            <w:tcW w:w="3880" w:type="dxa"/>
            <w:vAlign w:val="bottom"/>
            <w:tcBorders>
              <w:right w:val="single" w:sz="8" w:color="0000EE"/>
            </w:tcBorders>
            <w:gridSpan w:val="2"/>
            <w:shd w:val="clear" w:color="auto" w:fill="0000FF"/>
          </w:tcPr>
          <w:p>
            <w:pPr>
              <w:spacing w:after="0" w:line="20" w:lineRule="exact"/>
              <w:rPr>
                <w:sz w:val="1"/>
                <w:szCs w:val="1"/>
                <w:color w:val="auto"/>
              </w:rPr>
            </w:pPr>
          </w:p>
        </w:tc>
        <w:tc>
          <w:tcPr>
            <w:tcW w:w="2760" w:type="dxa"/>
            <w:vAlign w:val="bottom"/>
            <w:gridSpan w:val="2"/>
            <w:vMerge w:val="restart"/>
          </w:tcPr>
          <w:p>
            <w:pPr>
              <w:ind w:left="180"/>
              <w:spacing w:after="0" w:line="199" w:lineRule="exact"/>
              <w:rPr>
                <w:sz w:val="20"/>
                <w:szCs w:val="20"/>
                <w:color w:val="auto"/>
              </w:rPr>
            </w:pPr>
            <w:r>
              <w:rPr>
                <w:rFonts w:ascii="Times New Roman" w:cs="Times New Roman" w:eastAsia="Times New Roman" w:hAnsi="Times New Roman"/>
                <w:sz w:val="18"/>
                <w:szCs w:val="18"/>
                <w:color w:val="0000FF"/>
              </w:rPr>
              <w:t>Section 1350, as adopted pursuant</w:t>
            </w:r>
          </w:p>
        </w:tc>
        <w:tc>
          <w:tcPr>
            <w:tcW w:w="0" w:type="dxa"/>
            <w:vAlign w:val="bottom"/>
          </w:tcPr>
          <w:p>
            <w:pPr>
              <w:spacing w:after="0" w:line="20" w:lineRule="exact"/>
              <w:rPr>
                <w:sz w:val="1"/>
                <w:szCs w:val="1"/>
                <w:color w:val="auto"/>
              </w:rPr>
            </w:pPr>
          </w:p>
        </w:tc>
      </w:tr>
      <w:tr>
        <w:trPr>
          <w:trHeight w:val="179"/>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 ***</w:t>
            </w:r>
          </w:p>
        </w:tc>
        <w:tc>
          <w:tcPr>
            <w:tcW w:w="7260" w:type="dxa"/>
            <w:vAlign w:val="bottom"/>
            <w:gridSpan w:val="4"/>
          </w:tcPr>
          <w:p>
            <w:pPr>
              <w:spacing w:after="0" w:line="179" w:lineRule="exact"/>
              <w:rPr>
                <w:sz w:val="20"/>
                <w:szCs w:val="20"/>
                <w:color w:val="auto"/>
              </w:rPr>
            </w:pPr>
            <w:r>
              <w:rPr>
                <w:rFonts w:ascii="Times New Roman" w:cs="Times New Roman" w:eastAsia="Times New Roman" w:hAnsi="Times New Roman"/>
                <w:sz w:val="18"/>
                <w:szCs w:val="18"/>
                <w:color w:val="0000FF"/>
              </w:rPr>
              <w:t>Certifications of Principal Executive Officer and Principal Financial Officer pursuant to 18 U.S.C.</w:t>
            </w:r>
          </w:p>
        </w:tc>
        <w:tc>
          <w:tcPr>
            <w:tcW w:w="2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360" w:type="dxa"/>
            <w:vAlign w:val="bottom"/>
            <w:tcBorders>
              <w:right w:val="single" w:sz="8" w:color="0000FF"/>
            </w:tcBorders>
            <w:shd w:val="clear" w:color="auto" w:fill="0000FF"/>
          </w:tcPr>
          <w:p>
            <w:pPr>
              <w:spacing w:after="0" w:line="20" w:lineRule="exact"/>
              <w:rPr>
                <w:sz w:val="1"/>
                <w:szCs w:val="1"/>
                <w:color w:val="auto"/>
              </w:rPr>
            </w:pPr>
          </w:p>
        </w:tc>
        <w:tc>
          <w:tcPr>
            <w:tcW w:w="662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40" w:type="dxa"/>
            <w:vAlign w:val="bottom"/>
            <w:vMerge w:val="continue"/>
          </w:tcPr>
          <w:p>
            <w:pPr>
              <w:spacing w:after="0"/>
              <w:rPr>
                <w:sz w:val="14"/>
                <w:szCs w:val="14"/>
                <w:color w:val="auto"/>
              </w:rPr>
            </w:pPr>
          </w:p>
        </w:tc>
        <w:tc>
          <w:tcPr>
            <w:tcW w:w="10000" w:type="dxa"/>
            <w:vAlign w:val="bottom"/>
            <w:gridSpan w:val="5"/>
          </w:tcPr>
          <w:p>
            <w:pPr>
              <w:spacing w:after="0" w:line="165"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36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-226695</wp:posOffset>
            </wp:positionV>
            <wp:extent cx="7197090" cy="2438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7197090" cy="243840"/>
                    </a:xfrm>
                    <a:prstGeom prst="rect">
                      <a:avLst/>
                    </a:prstGeom>
                    <a:noFill/>
                  </pic:spPr>
                </pic:pic>
              </a:graphicData>
            </a:graphic>
          </wp:anchor>
        </w:drawing>
      </w:r>
    </w:p>
    <w:p>
      <w:pPr>
        <w:ind w:left="1340" w:hanging="1321"/>
        <w:spacing w:after="0" w:line="215" w:lineRule="auto"/>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rPr>
        <w:t>DallasNews Corporation Compensation Recovery Policy</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101.INS **</w:t>
            </w:r>
          </w:p>
        </w:tc>
        <w:tc>
          <w:tcPr>
            <w:tcW w:w="260" w:type="dxa"/>
            <w:vAlign w:val="bottom"/>
            <w:shd w:val="clear" w:color="auto" w:fill="CCEEFF"/>
          </w:tcPr>
          <w:p>
            <w:pPr>
              <w:spacing w:after="0"/>
              <w:rPr>
                <w:sz w:val="12"/>
                <w:szCs w:val="12"/>
                <w:color w:val="auto"/>
              </w:rPr>
            </w:pPr>
          </w:p>
        </w:tc>
        <w:tc>
          <w:tcPr>
            <w:tcW w:w="1000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 Inl</w:t>
            </w:r>
          </w:p>
        </w:tc>
        <w:tc>
          <w:tcPr>
            <w:tcW w:w="0" w:type="dxa"/>
            <w:vAlign w:val="bottom"/>
          </w:tcPr>
          <w:p>
            <w:pPr>
              <w:spacing w:after="0"/>
              <w:rPr>
                <w:sz w:val="1"/>
                <w:szCs w:val="1"/>
                <w:color w:val="auto"/>
              </w:rPr>
            </w:pPr>
          </w:p>
        </w:tc>
      </w:tr>
      <w:tr>
        <w:trPr>
          <w:trHeight w:val="199"/>
        </w:trPr>
        <w:tc>
          <w:tcPr>
            <w:tcW w:w="1080" w:type="dxa"/>
            <w:vAlign w:val="bottom"/>
            <w:gridSpan w:val="2"/>
            <w:vMerge w:val="continue"/>
            <w:shd w:val="clear" w:color="auto" w:fill="CCEEFF"/>
          </w:tcPr>
          <w:p>
            <w:pPr>
              <w:spacing w:after="0"/>
              <w:rPr>
                <w:sz w:val="17"/>
                <w:szCs w:val="17"/>
                <w:color w:val="auto"/>
              </w:rPr>
            </w:pPr>
          </w:p>
        </w:tc>
        <w:tc>
          <w:tcPr>
            <w:tcW w:w="102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XBRL document</w:t>
            </w:r>
          </w:p>
        </w:tc>
        <w:tc>
          <w:tcPr>
            <w:tcW w:w="0" w:type="dxa"/>
            <w:vAlign w:val="bottom"/>
          </w:tcPr>
          <w:p>
            <w:pPr>
              <w:spacing w:after="0"/>
              <w:rPr>
                <w:sz w:val="1"/>
                <w:szCs w:val="1"/>
                <w:color w:val="auto"/>
              </w:rPr>
            </w:pPr>
          </w:p>
        </w:tc>
      </w:tr>
      <w:tr>
        <w:trPr>
          <w:trHeight w:val="18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 **</w:t>
            </w:r>
          </w:p>
        </w:tc>
        <w:tc>
          <w:tcPr>
            <w:tcW w:w="102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185"/>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101.CAL **</w:t>
            </w:r>
          </w:p>
        </w:tc>
        <w:tc>
          <w:tcPr>
            <w:tcW w:w="102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18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 **</w:t>
            </w:r>
          </w:p>
        </w:tc>
        <w:tc>
          <w:tcPr>
            <w:tcW w:w="102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186"/>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101.LAB **</w:t>
            </w:r>
          </w:p>
        </w:tc>
        <w:tc>
          <w:tcPr>
            <w:tcW w:w="102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18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 **</w:t>
            </w:r>
          </w:p>
        </w:tc>
        <w:tc>
          <w:tcPr>
            <w:tcW w:w="102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185"/>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6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02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940"/>
        <w:spacing w:after="0"/>
        <w:tabs>
          <w:tab w:leader="none" w:pos="1052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08"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33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DALLASNEWS CORPORATION</w:t>
      </w:r>
    </w:p>
    <w:p>
      <w:pPr>
        <w:spacing w:after="0" w:line="164" w:lineRule="exact"/>
        <w:rPr>
          <w:sz w:val="20"/>
          <w:szCs w:val="20"/>
          <w:color w:val="auto"/>
        </w:rPr>
      </w:pPr>
    </w:p>
    <w:p>
      <w:pPr>
        <w:ind w:left="5980"/>
        <w:spacing w:after="0"/>
        <w:tabs>
          <w:tab w:leader="none" w:pos="6640" w:val="left"/>
          <w:tab w:leader="none" w:pos="6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Grant S. Moise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6350</wp:posOffset>
            </wp:positionV>
            <wp:extent cx="29197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ind w:left="6980"/>
        <w:spacing w:after="0" w:line="228" w:lineRule="auto"/>
        <w:rPr>
          <w:sz w:val="20"/>
          <w:szCs w:val="20"/>
          <w:color w:val="auto"/>
        </w:rPr>
      </w:pPr>
      <w:r>
        <w:rPr>
          <w:rFonts w:ascii="Times New Roman" w:cs="Times New Roman" w:eastAsia="Times New Roman" w:hAnsi="Times New Roman"/>
          <w:sz w:val="18"/>
          <w:szCs w:val="18"/>
          <w:color w:val="auto"/>
        </w:rPr>
        <w:t>Grant S. Moise</w:t>
      </w:r>
    </w:p>
    <w:p>
      <w:pPr>
        <w:spacing w:after="0" w:line="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30"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Dated:</w:t>
        <w:tab/>
        <w:t>March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tabs>
          <w:tab w:leader="none" w:pos="6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3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undersigned hereby constitute and appoint Grant S. Moise and Katy Murray, and each of them and their substitutes, our true and lawful attorneys-in-fact with full power to execute in our name and behalf in the capacities indicated below any and all amendments to this report and to file the same, with all exhibits thereto and other documents in connection therewith, with the Securities and Exchange Commission, and hereby ratify and confirm all that such attorneys-in-fact, or any of them, or their substitutes shall lawfully do or cause to be done by virtue thereof.</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Company and in the capacities and on the dates indicated: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68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Grant S. Moise</w:t>
            </w:r>
          </w:p>
        </w:tc>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54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March 6, 2024</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S. Moise</w:t>
            </w:r>
          </w:p>
        </w:tc>
        <w:tc>
          <w:tcPr>
            <w:tcW w:w="42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A. Beckert</w:t>
            </w:r>
          </w:p>
        </w:tc>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Chairman of the Board</w:t>
            </w:r>
          </w:p>
        </w:tc>
        <w:tc>
          <w:tcPr>
            <w:tcW w:w="354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March 6, 2024</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A. Beckert</w:t>
            </w:r>
          </w:p>
        </w:tc>
        <w:tc>
          <w:tcPr>
            <w:tcW w:w="42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Louis E. Caldera</w:t>
            </w:r>
          </w:p>
        </w:tc>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54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March 6, 2024</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Louis E. Caldera</w:t>
            </w:r>
          </w:p>
        </w:tc>
        <w:tc>
          <w:tcPr>
            <w:tcW w:w="42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Ronald D. McCray</w:t>
            </w:r>
          </w:p>
        </w:tc>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54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March 6, 2024</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Ronald D. McCray</w:t>
            </w:r>
          </w:p>
        </w:tc>
        <w:tc>
          <w:tcPr>
            <w:tcW w:w="42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Dunia A. Shive</w:t>
            </w:r>
          </w:p>
        </w:tc>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54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March 6, 2024</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Dunia A. Shive</w:t>
            </w:r>
          </w:p>
        </w:tc>
        <w:tc>
          <w:tcPr>
            <w:tcW w:w="42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Katy Murray</w:t>
            </w:r>
          </w:p>
        </w:tc>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Chief Financial Officer</w:t>
            </w:r>
          </w:p>
        </w:tc>
        <w:tc>
          <w:tcPr>
            <w:tcW w:w="354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March 6, 2024</w:t>
            </w:r>
          </w:p>
        </w:tc>
        <w:tc>
          <w:tcPr>
            <w:tcW w:w="0" w:type="dxa"/>
            <w:vAlign w:val="bottom"/>
          </w:tcPr>
          <w:p>
            <w:pPr>
              <w:spacing w:after="0"/>
              <w:rPr>
                <w:sz w:val="1"/>
                <w:szCs w:val="1"/>
                <w:color w:val="auto"/>
              </w:rPr>
            </w:pPr>
          </w:p>
        </w:tc>
      </w:tr>
      <w:tr>
        <w:trPr>
          <w:trHeight w:val="32"/>
        </w:trPr>
        <w:tc>
          <w:tcPr>
            <w:tcW w:w="3500" w:type="dxa"/>
            <w:vAlign w:val="bottom"/>
            <w:tcBorders>
              <w:bottom w:val="single" w:sz="8" w:color="auto"/>
            </w:tcBorders>
          </w:tcPr>
          <w:p>
            <w:pPr>
              <w:spacing w:after="0"/>
              <w:rPr>
                <w:sz w:val="2"/>
                <w:szCs w:val="2"/>
                <w:color w:val="auto"/>
              </w:rPr>
            </w:pPr>
          </w:p>
        </w:tc>
        <w:tc>
          <w:tcPr>
            <w:tcW w:w="42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Katy Murray</w:t>
            </w:r>
          </w:p>
        </w:tc>
        <w:tc>
          <w:tcPr>
            <w:tcW w:w="4200" w:type="dxa"/>
            <w:vAlign w:val="bottom"/>
            <w:vMerge w:val="continue"/>
          </w:tcPr>
          <w:p>
            <w:pPr>
              <w:spacing w:after="0"/>
              <w:rPr>
                <w:sz w:val="19"/>
                <w:szCs w:val="19"/>
                <w:color w:val="auto"/>
              </w:rPr>
            </w:pPr>
          </w:p>
        </w:tc>
        <w:tc>
          <w:tcPr>
            <w:tcW w:w="2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6"/>
        </w:trPr>
        <w:tc>
          <w:tcPr>
            <w:tcW w:w="3500" w:type="dxa"/>
            <w:vAlign w:val="bottom"/>
          </w:tcPr>
          <w:p>
            <w:pPr>
              <w:spacing w:after="0"/>
              <w:rPr>
                <w:sz w:val="24"/>
                <w:szCs w:val="24"/>
                <w:color w:val="auto"/>
              </w:rPr>
            </w:pPr>
          </w:p>
        </w:tc>
        <w:tc>
          <w:tcPr>
            <w:tcW w:w="688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DallasNews Corporation 2023 Annual Report on Form 10-K</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3"/>
              </w:rPr>
              <w:t>PAGE 24</w:t>
            </w:r>
          </w:p>
        </w:tc>
        <w:tc>
          <w:tcPr>
            <w:tcW w:w="0" w:type="dxa"/>
            <w:vAlign w:val="bottom"/>
          </w:tcPr>
          <w:p>
            <w:pPr>
              <w:spacing w:after="0"/>
              <w:rPr>
                <w:sz w:val="1"/>
                <w:szCs w:val="1"/>
                <w:color w:val="auto"/>
              </w:rPr>
            </w:pPr>
          </w:p>
        </w:tc>
      </w:tr>
      <w:tr>
        <w:trPr>
          <w:trHeight w:val="323"/>
        </w:trPr>
        <w:tc>
          <w:tcPr>
            <w:tcW w:w="350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DallasNews Corporation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6"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DallasNews Corporation (a Texas corporation) and subsidiaries (the “Company”) as of December 31, 2023 and 2022, the related consolidated statements of operations, comprehensive income (loss), shareholders’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6"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4"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6"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6"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200" w:lineRule="exact"/>
        <w:rPr>
          <w:sz w:val="20"/>
          <w:szCs w:val="20"/>
          <w:color w:val="auto"/>
        </w:rPr>
      </w:pPr>
    </w:p>
    <w:p>
      <w:pPr>
        <w:spacing w:after="0" w:line="273" w:lineRule="exact"/>
        <w:rPr>
          <w:sz w:val="20"/>
          <w:szCs w:val="20"/>
          <w:color w:val="auto"/>
        </w:rPr>
      </w:pPr>
    </w:p>
    <w:p>
      <w:pPr>
        <w:jc w:val="right"/>
        <w:spacing w:after="0"/>
        <w:tabs>
          <w:tab w:leader="none" w:pos="6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DallasNews Corporation and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amounts</w:t>
            </w:r>
          </w:p>
        </w:tc>
        <w:tc>
          <w:tcPr>
            <w:tcW w:w="520" w:type="dxa"/>
            <w:vAlign w:val="bottom"/>
            <w:tcBorders>
              <w:top w:val="single" w:sz="8" w:color="auto"/>
              <w:bottom w:val="single" w:sz="8" w:color="auto"/>
            </w:tcBorders>
          </w:tcPr>
          <w:p>
            <w:pPr>
              <w:spacing w:after="0"/>
              <w:rPr>
                <w:sz w:val="16"/>
                <w:szCs w:val="16"/>
                <w:color w:val="auto"/>
              </w:rPr>
            </w:pPr>
          </w:p>
        </w:tc>
        <w:tc>
          <w:tcPr>
            <w:tcW w:w="2600" w:type="dxa"/>
            <w:vAlign w:val="bottom"/>
            <w:tcBorders>
              <w:top w:val="single" w:sz="8" w:color="auto"/>
              <w:bottom w:val="single" w:sz="8" w:color="auto"/>
            </w:tcBorders>
            <w:gridSpan w:val="4"/>
          </w:tcPr>
          <w:p>
            <w:pPr>
              <w:jc w:val="right"/>
              <w:ind w:right="37"/>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13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82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33"/>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33"/>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0" w:type="dxa"/>
            <w:vAlign w:val="bottom"/>
          </w:tcPr>
          <w:p>
            <w:pPr>
              <w:spacing w:after="0"/>
              <w:rPr>
                <w:sz w:val="1"/>
                <w:szCs w:val="1"/>
                <w:color w:val="auto"/>
              </w:rPr>
            </w:pPr>
          </w:p>
        </w:tc>
      </w:tr>
      <w:tr>
        <w:trPr>
          <w:trHeight w:val="185"/>
        </w:trPr>
        <w:tc>
          <w:tcPr>
            <w:tcW w:w="682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Net Operating Revenue:</w:t>
            </w:r>
          </w:p>
        </w:tc>
        <w:tc>
          <w:tcPr>
            <w:tcW w:w="5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2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color w:val="auto"/>
              </w:rPr>
              <w:t>Advertising and marketing services</w:t>
            </w:r>
          </w:p>
        </w:tc>
        <w:tc>
          <w:tcPr>
            <w:tcW w:w="520" w:type="dxa"/>
            <w:vAlign w:val="bottom"/>
          </w:tcPr>
          <w:p>
            <w:pPr>
              <w:jc w:val="right"/>
              <w:ind w:right="332"/>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59,038</w:t>
            </w:r>
          </w:p>
        </w:tc>
        <w:tc>
          <w:tcPr>
            <w:tcW w:w="100" w:type="dxa"/>
            <w:vAlign w:val="bottom"/>
          </w:tcPr>
          <w:p>
            <w:pPr>
              <w:spacing w:after="0"/>
              <w:rPr>
                <w:sz w:val="16"/>
                <w:szCs w:val="16"/>
                <w:color w:val="auto"/>
              </w:rPr>
            </w:pPr>
          </w:p>
        </w:tc>
        <w:tc>
          <w:tcPr>
            <w:tcW w:w="900" w:type="dxa"/>
            <w:vAlign w:val="bottom"/>
            <w:gridSpan w:val="2"/>
          </w:tcPr>
          <w:p>
            <w:pPr>
              <w:jc w:val="right"/>
              <w:ind w:right="637"/>
              <w:spacing w:after="0" w:line="18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69,667</w:t>
            </w:r>
          </w:p>
        </w:tc>
        <w:tc>
          <w:tcPr>
            <w:tcW w:w="0" w:type="dxa"/>
            <w:vAlign w:val="bottom"/>
          </w:tcPr>
          <w:p>
            <w:pPr>
              <w:spacing w:after="0"/>
              <w:rPr>
                <w:sz w:val="1"/>
                <w:szCs w:val="1"/>
                <w:color w:val="auto"/>
              </w:rPr>
            </w:pPr>
          </w:p>
        </w:tc>
      </w:tr>
      <w:tr>
        <w:trPr>
          <w:trHeight w:val="185"/>
        </w:trPr>
        <w:tc>
          <w:tcPr>
            <w:tcW w:w="682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Circulation</w:t>
            </w:r>
          </w:p>
        </w:tc>
        <w:tc>
          <w:tcPr>
            <w:tcW w:w="5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65,349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65,191</w:t>
            </w:r>
          </w:p>
        </w:tc>
        <w:tc>
          <w:tcPr>
            <w:tcW w:w="0" w:type="dxa"/>
            <w:vAlign w:val="bottom"/>
          </w:tcPr>
          <w:p>
            <w:pPr>
              <w:spacing w:after="0"/>
              <w:rPr>
                <w:sz w:val="1"/>
                <w:szCs w:val="1"/>
                <w:color w:val="auto"/>
              </w:rPr>
            </w:pPr>
          </w:p>
        </w:tc>
      </w:tr>
      <w:tr>
        <w:trPr>
          <w:trHeight w:val="192"/>
        </w:trPr>
        <w:tc>
          <w:tcPr>
            <w:tcW w:w="6820" w:type="dxa"/>
            <w:vAlign w:val="bottom"/>
            <w:tcBorders>
              <w:bottom w:val="single" w:sz="8" w:color="CCEEFF"/>
            </w:tcBorders>
          </w:tcPr>
          <w:p>
            <w:pPr>
              <w:ind w:left="220"/>
              <w:spacing w:after="0" w:line="186" w:lineRule="exact"/>
              <w:rPr>
                <w:sz w:val="20"/>
                <w:szCs w:val="20"/>
                <w:color w:val="auto"/>
              </w:rPr>
            </w:pPr>
            <w:r>
              <w:rPr>
                <w:rFonts w:ascii="Times New Roman" w:cs="Times New Roman" w:eastAsia="Times New Roman" w:hAnsi="Times New Roman"/>
                <w:sz w:val="18"/>
                <w:szCs w:val="18"/>
                <w:color w:val="auto"/>
              </w:rPr>
              <w:t>Printing, distribution and other</w:t>
            </w:r>
          </w:p>
        </w:tc>
        <w:tc>
          <w:tcPr>
            <w:tcW w:w="5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15,309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15,793</w:t>
            </w:r>
          </w:p>
        </w:tc>
        <w:tc>
          <w:tcPr>
            <w:tcW w:w="0" w:type="dxa"/>
            <w:vAlign w:val="bottom"/>
          </w:tcPr>
          <w:p>
            <w:pPr>
              <w:spacing w:after="0"/>
              <w:rPr>
                <w:sz w:val="1"/>
                <w:szCs w:val="1"/>
                <w:color w:val="auto"/>
              </w:rPr>
            </w:pPr>
          </w:p>
        </w:tc>
      </w:tr>
      <w:tr>
        <w:trPr>
          <w:trHeight w:val="185"/>
        </w:trPr>
        <w:tc>
          <w:tcPr>
            <w:tcW w:w="6820" w:type="dxa"/>
            <w:vAlign w:val="bottom"/>
            <w:shd w:val="clear" w:color="auto" w:fill="CCEEFF"/>
          </w:tcPr>
          <w:p>
            <w:pPr>
              <w:ind w:left="320"/>
              <w:spacing w:after="0" w:line="186" w:lineRule="exact"/>
              <w:rPr>
                <w:sz w:val="20"/>
                <w:szCs w:val="20"/>
                <w:color w:val="auto"/>
              </w:rPr>
            </w:pPr>
            <w:r>
              <w:rPr>
                <w:rFonts w:ascii="Times New Roman" w:cs="Times New Roman" w:eastAsia="Times New Roman" w:hAnsi="Times New Roman"/>
                <w:sz w:val="18"/>
                <w:szCs w:val="18"/>
                <w:color w:val="auto"/>
              </w:rPr>
              <w:t>Total net operating revenue</w:t>
            </w:r>
          </w:p>
        </w:tc>
        <w:tc>
          <w:tcPr>
            <w:tcW w:w="5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139,696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150,651</w:t>
            </w:r>
          </w:p>
        </w:tc>
        <w:tc>
          <w:tcPr>
            <w:tcW w:w="0" w:type="dxa"/>
            <w:vAlign w:val="bottom"/>
          </w:tcPr>
          <w:p>
            <w:pPr>
              <w:spacing w:after="0"/>
              <w:rPr>
                <w:sz w:val="1"/>
                <w:szCs w:val="1"/>
                <w:color w:val="auto"/>
              </w:rPr>
            </w:pPr>
          </w:p>
        </w:tc>
      </w:tr>
      <w:tr>
        <w:trPr>
          <w:trHeight w:val="186"/>
        </w:trPr>
        <w:tc>
          <w:tcPr>
            <w:tcW w:w="682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Operating Costs and Expense:</w:t>
            </w:r>
          </w:p>
        </w:tc>
        <w:tc>
          <w:tcPr>
            <w:tcW w:w="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2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Employee compensation and benefits</w:t>
            </w:r>
          </w:p>
        </w:tc>
        <w:tc>
          <w:tcPr>
            <w:tcW w:w="5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69,445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67,096</w:t>
            </w:r>
          </w:p>
        </w:tc>
        <w:tc>
          <w:tcPr>
            <w:tcW w:w="0" w:type="dxa"/>
            <w:vAlign w:val="bottom"/>
          </w:tcPr>
          <w:p>
            <w:pPr>
              <w:spacing w:after="0"/>
              <w:rPr>
                <w:sz w:val="1"/>
                <w:szCs w:val="1"/>
                <w:color w:val="auto"/>
              </w:rPr>
            </w:pPr>
          </w:p>
        </w:tc>
      </w:tr>
      <w:tr>
        <w:trPr>
          <w:trHeight w:val="186"/>
        </w:trPr>
        <w:tc>
          <w:tcPr>
            <w:tcW w:w="682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color w:val="auto"/>
              </w:rPr>
              <w:t>Other production, distribution and operating costs</w:t>
            </w:r>
          </w:p>
        </w:tc>
        <w:tc>
          <w:tcPr>
            <w:tcW w:w="520" w:type="dxa"/>
            <w:vAlign w:val="bottom"/>
          </w:tcPr>
          <w:p>
            <w:pPr>
              <w:spacing w:after="0"/>
              <w:rPr>
                <w:sz w:val="16"/>
                <w:szCs w:val="16"/>
                <w:color w:val="auto"/>
              </w:rPr>
            </w:pPr>
          </w:p>
        </w:tc>
        <w:tc>
          <w:tcPr>
            <w:tcW w:w="16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68,008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78,638</w:t>
            </w:r>
          </w:p>
        </w:tc>
        <w:tc>
          <w:tcPr>
            <w:tcW w:w="0" w:type="dxa"/>
            <w:vAlign w:val="bottom"/>
          </w:tcPr>
          <w:p>
            <w:pPr>
              <w:spacing w:after="0"/>
              <w:rPr>
                <w:sz w:val="1"/>
                <w:szCs w:val="1"/>
                <w:color w:val="auto"/>
              </w:rPr>
            </w:pPr>
          </w:p>
        </w:tc>
      </w:tr>
      <w:tr>
        <w:trPr>
          <w:trHeight w:val="186"/>
        </w:trPr>
        <w:tc>
          <w:tcPr>
            <w:tcW w:w="682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Newsprint, ink and other supplies</w:t>
            </w:r>
          </w:p>
        </w:tc>
        <w:tc>
          <w:tcPr>
            <w:tcW w:w="5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8,793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11,035</w:t>
            </w:r>
          </w:p>
        </w:tc>
        <w:tc>
          <w:tcPr>
            <w:tcW w:w="0" w:type="dxa"/>
            <w:vAlign w:val="bottom"/>
          </w:tcPr>
          <w:p>
            <w:pPr>
              <w:spacing w:after="0"/>
              <w:rPr>
                <w:sz w:val="1"/>
                <w:szCs w:val="1"/>
                <w:color w:val="auto"/>
              </w:rPr>
            </w:pPr>
          </w:p>
        </w:tc>
      </w:tr>
      <w:tr>
        <w:trPr>
          <w:trHeight w:val="185"/>
        </w:trPr>
        <w:tc>
          <w:tcPr>
            <w:tcW w:w="682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color w:val="auto"/>
              </w:rPr>
              <w:t>Depreciation</w:t>
            </w:r>
          </w:p>
        </w:tc>
        <w:tc>
          <w:tcPr>
            <w:tcW w:w="520" w:type="dxa"/>
            <w:vAlign w:val="bottom"/>
          </w:tcPr>
          <w:p>
            <w:pPr>
              <w:spacing w:after="0"/>
              <w:rPr>
                <w:sz w:val="16"/>
                <w:szCs w:val="16"/>
                <w:color w:val="auto"/>
              </w:rPr>
            </w:pPr>
          </w:p>
        </w:tc>
        <w:tc>
          <w:tcPr>
            <w:tcW w:w="16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186"/>
        </w:trPr>
        <w:tc>
          <w:tcPr>
            <w:tcW w:w="682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Loss on sale/disposal of assets, net</w:t>
            </w:r>
          </w:p>
        </w:tc>
        <w:tc>
          <w:tcPr>
            <w:tcW w:w="5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60"/>
              <w:spacing w:after="0" w:line="18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2"/>
        </w:trPr>
        <w:tc>
          <w:tcPr>
            <w:tcW w:w="682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color w:val="auto"/>
              </w:rPr>
              <w:t>Asset impairments</w:t>
            </w:r>
          </w:p>
        </w:tc>
        <w:tc>
          <w:tcPr>
            <w:tcW w:w="520" w:type="dxa"/>
            <w:vAlign w:val="bottom"/>
          </w:tcPr>
          <w:p>
            <w:pPr>
              <w:spacing w:after="0"/>
              <w:rPr>
                <w:sz w:val="16"/>
                <w:szCs w:val="16"/>
                <w:color w:val="auto"/>
              </w:rPr>
            </w:pPr>
          </w:p>
        </w:tc>
        <w:tc>
          <w:tcPr>
            <w:tcW w:w="1700" w:type="dxa"/>
            <w:vAlign w:val="bottom"/>
            <w:gridSpan w:val="2"/>
          </w:tcPr>
          <w:p>
            <w:pPr>
              <w:jc w:val="right"/>
              <w:ind w:right="160"/>
              <w:spacing w:after="0" w:line="18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6"/>
        </w:trPr>
        <w:tc>
          <w:tcPr>
            <w:tcW w:w="6820" w:type="dxa"/>
            <w:vAlign w:val="bottom"/>
            <w:tcBorders>
              <w:top w:val="single" w:sz="8" w:color="CCEEFF"/>
              <w:bottom w:val="single" w:sz="8" w:color="CCEEFF"/>
            </w:tcBorders>
            <w:shd w:val="clear" w:color="auto" w:fill="CCEEFF"/>
          </w:tcPr>
          <w:p>
            <w:pPr>
              <w:ind w:left="320"/>
              <w:spacing w:after="0" w:line="186" w:lineRule="exact"/>
              <w:rPr>
                <w:sz w:val="20"/>
                <w:szCs w:val="20"/>
                <w:color w:val="auto"/>
              </w:rPr>
            </w:pPr>
            <w:r>
              <w:rPr>
                <w:rFonts w:ascii="Times New Roman" w:cs="Times New Roman" w:eastAsia="Times New Roman" w:hAnsi="Times New Roman"/>
                <w:sz w:val="18"/>
                <w:szCs w:val="18"/>
                <w:color w:val="auto"/>
              </w:rPr>
              <w:t>Total operating costs and expense</w:t>
            </w: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16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147,766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159,638</w:t>
            </w:r>
          </w:p>
        </w:tc>
        <w:tc>
          <w:tcPr>
            <w:tcW w:w="0" w:type="dxa"/>
            <w:vAlign w:val="bottom"/>
          </w:tcPr>
          <w:p>
            <w:pPr>
              <w:spacing w:after="0"/>
              <w:rPr>
                <w:sz w:val="1"/>
                <w:szCs w:val="1"/>
                <w:color w:val="auto"/>
              </w:rPr>
            </w:pPr>
          </w:p>
        </w:tc>
      </w:tr>
      <w:tr>
        <w:trPr>
          <w:trHeight w:val="172"/>
        </w:trPr>
        <w:tc>
          <w:tcPr>
            <w:tcW w:w="6820" w:type="dxa"/>
            <w:vAlign w:val="bottom"/>
          </w:tcPr>
          <w:p>
            <w:pPr>
              <w:ind w:left="420"/>
              <w:spacing w:after="0" w:line="172" w:lineRule="exact"/>
              <w:rPr>
                <w:sz w:val="20"/>
                <w:szCs w:val="20"/>
                <w:color w:val="auto"/>
              </w:rPr>
            </w:pPr>
            <w:r>
              <w:rPr>
                <w:rFonts w:ascii="Times New Roman" w:cs="Times New Roman" w:eastAsia="Times New Roman" w:hAnsi="Times New Roman"/>
                <w:sz w:val="18"/>
                <w:szCs w:val="18"/>
                <w:color w:val="auto"/>
              </w:rPr>
              <w:t>Operating loss</w:t>
            </w:r>
          </w:p>
        </w:tc>
        <w:tc>
          <w:tcPr>
            <w:tcW w:w="520" w:type="dxa"/>
            <w:vAlign w:val="bottom"/>
          </w:tcPr>
          <w:p>
            <w:pPr>
              <w:spacing w:after="0"/>
              <w:rPr>
                <w:sz w:val="14"/>
                <w:szCs w:val="14"/>
                <w:color w:val="auto"/>
              </w:rPr>
            </w:pPr>
          </w:p>
        </w:tc>
        <w:tc>
          <w:tcPr>
            <w:tcW w:w="16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(8,070)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(8,987)</w:t>
            </w:r>
          </w:p>
        </w:tc>
        <w:tc>
          <w:tcPr>
            <w:tcW w:w="0" w:type="dxa"/>
            <w:vAlign w:val="bottom"/>
          </w:tcPr>
          <w:p>
            <w:pPr>
              <w:spacing w:after="0"/>
              <w:rPr>
                <w:sz w:val="1"/>
                <w:szCs w:val="1"/>
                <w:color w:val="auto"/>
              </w:rPr>
            </w:pPr>
          </w:p>
        </w:tc>
      </w:tr>
      <w:tr>
        <w:trPr>
          <w:trHeight w:val="206"/>
        </w:trPr>
        <w:tc>
          <w:tcPr>
            <w:tcW w:w="6820" w:type="dxa"/>
            <w:vAlign w:val="bottom"/>
            <w:tcBorders>
              <w:bottom w:val="single" w:sz="8" w:color="CCEEFF"/>
            </w:tcBorders>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Other income (loss), net</w:t>
            </w:r>
          </w:p>
        </w:tc>
        <w:tc>
          <w:tcPr>
            <w:tcW w:w="5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1,422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172"/>
        </w:trPr>
        <w:tc>
          <w:tcPr>
            <w:tcW w:w="6820" w:type="dxa"/>
            <w:vAlign w:val="bottom"/>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520" w:type="dxa"/>
            <w:vAlign w:val="bottom"/>
          </w:tcPr>
          <w:p>
            <w:pPr>
              <w:spacing w:after="0"/>
              <w:rPr>
                <w:sz w:val="14"/>
                <w:szCs w:val="14"/>
                <w:color w:val="auto"/>
              </w:rPr>
            </w:pPr>
          </w:p>
        </w:tc>
        <w:tc>
          <w:tcPr>
            <w:tcW w:w="16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(6,648)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(9,228)</w:t>
            </w:r>
          </w:p>
        </w:tc>
        <w:tc>
          <w:tcPr>
            <w:tcW w:w="0" w:type="dxa"/>
            <w:vAlign w:val="bottom"/>
          </w:tcPr>
          <w:p>
            <w:pPr>
              <w:spacing w:after="0"/>
              <w:rPr>
                <w:sz w:val="1"/>
                <w:szCs w:val="1"/>
                <w:color w:val="auto"/>
              </w:rPr>
            </w:pPr>
          </w:p>
        </w:tc>
      </w:tr>
      <w:tr>
        <w:trPr>
          <w:trHeight w:val="206"/>
        </w:trPr>
        <w:tc>
          <w:tcPr>
            <w:tcW w:w="6820" w:type="dxa"/>
            <w:vAlign w:val="bottom"/>
            <w:tcBorders>
              <w:bottom w:val="single" w:sz="8" w:color="CCEEFF"/>
            </w:tcBorders>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Income tax provision</w:t>
            </w:r>
          </w:p>
        </w:tc>
        <w:tc>
          <w:tcPr>
            <w:tcW w:w="5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2"/>
        </w:trPr>
        <w:tc>
          <w:tcPr>
            <w:tcW w:w="682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520" w:type="dxa"/>
            <w:vAlign w:val="bottom"/>
            <w:tcBorders>
              <w:bottom w:val="single" w:sz="8" w:color="auto"/>
            </w:tcBorders>
          </w:tcPr>
          <w:p>
            <w:pPr>
              <w:jc w:val="right"/>
              <w:ind w:right="332"/>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(7,112)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637"/>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(9,786)</w:t>
            </w:r>
          </w:p>
        </w:tc>
        <w:tc>
          <w:tcPr>
            <w:tcW w:w="0" w:type="dxa"/>
            <w:vAlign w:val="bottom"/>
          </w:tcPr>
          <w:p>
            <w:pPr>
              <w:spacing w:after="0"/>
              <w:rPr>
                <w:sz w:val="1"/>
                <w:szCs w:val="1"/>
                <w:color w:val="auto"/>
              </w:rPr>
            </w:pPr>
          </w:p>
        </w:tc>
      </w:tr>
      <w:tr>
        <w:trPr>
          <w:trHeight w:val="165"/>
        </w:trPr>
        <w:tc>
          <w:tcPr>
            <w:tcW w:w="6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82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Per Share Basis</w:t>
            </w:r>
          </w:p>
        </w:tc>
        <w:tc>
          <w:tcPr>
            <w:tcW w:w="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2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Net loss</w:t>
            </w:r>
          </w:p>
        </w:tc>
        <w:tc>
          <w:tcPr>
            <w:tcW w:w="5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20" w:type="dxa"/>
            <w:vAlign w:val="bottom"/>
          </w:tcPr>
          <w:p>
            <w:pPr>
              <w:ind w:left="320"/>
              <w:spacing w:after="0" w:line="186" w:lineRule="exact"/>
              <w:rPr>
                <w:sz w:val="20"/>
                <w:szCs w:val="20"/>
                <w:color w:val="auto"/>
              </w:rPr>
            </w:pPr>
            <w:r>
              <w:rPr>
                <w:rFonts w:ascii="Times New Roman" w:cs="Times New Roman" w:eastAsia="Times New Roman" w:hAnsi="Times New Roman"/>
                <w:sz w:val="18"/>
                <w:szCs w:val="18"/>
                <w:color w:val="auto"/>
              </w:rPr>
              <w:t>Basic</w:t>
            </w:r>
          </w:p>
        </w:tc>
        <w:tc>
          <w:tcPr>
            <w:tcW w:w="520" w:type="dxa"/>
            <w:vAlign w:val="bottom"/>
          </w:tcPr>
          <w:p>
            <w:pPr>
              <w:jc w:val="right"/>
              <w:ind w:right="332"/>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100"/>
              <w:spacing w:after="0" w:line="186" w:lineRule="exact"/>
              <w:rPr>
                <w:sz w:val="20"/>
                <w:szCs w:val="20"/>
                <w:color w:val="auto"/>
              </w:rPr>
            </w:pPr>
            <w:r>
              <w:rPr>
                <w:rFonts w:ascii="Times New Roman" w:cs="Times New Roman" w:eastAsia="Times New Roman" w:hAnsi="Times New Roman"/>
                <w:sz w:val="18"/>
                <w:szCs w:val="18"/>
                <w:color w:val="auto"/>
              </w:rPr>
              <w:t>(1.33)</w:t>
            </w:r>
          </w:p>
        </w:tc>
        <w:tc>
          <w:tcPr>
            <w:tcW w:w="900" w:type="dxa"/>
            <w:vAlign w:val="bottom"/>
            <w:gridSpan w:val="2"/>
          </w:tcPr>
          <w:p>
            <w:pPr>
              <w:jc w:val="right"/>
              <w:ind w:right="637"/>
              <w:spacing w:after="0" w:line="18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185"/>
        </w:trPr>
        <w:tc>
          <w:tcPr>
            <w:tcW w:w="682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Number of common shares used in the per share calculation:</w:t>
            </w:r>
          </w:p>
        </w:tc>
        <w:tc>
          <w:tcPr>
            <w:tcW w:w="5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5,352,490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5,352,490</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accompanying Notes to the Consolidated Financial Statements.</w:t>
      </w:r>
    </w:p>
    <w:p>
      <w:pPr>
        <w:spacing w:after="0" w:line="200" w:lineRule="exact"/>
        <w:rPr>
          <w:sz w:val="20"/>
          <w:szCs w:val="20"/>
          <w:color w:val="auto"/>
        </w:rPr>
      </w:pPr>
    </w:p>
    <w:p>
      <w:pPr>
        <w:spacing w:after="0" w:line="295" w:lineRule="exact"/>
        <w:rPr>
          <w:sz w:val="20"/>
          <w:szCs w:val="20"/>
          <w:color w:val="auto"/>
        </w:rPr>
      </w:pPr>
    </w:p>
    <w:p>
      <w:pPr>
        <w:jc w:val="right"/>
        <w:spacing w:after="0"/>
        <w:tabs>
          <w:tab w:leader="none" w:pos="6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DallasNews Corporation and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60" w:type="dxa"/>
            <w:vAlign w:val="bottom"/>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23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11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620" w:type="dxa"/>
            <w:vAlign w:val="bottom"/>
            <w:tcBorders>
              <w:bottom w:val="single" w:sz="8" w:color="auto"/>
            </w:tcBorders>
            <w:vMerge w:val="continue"/>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17"/>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15"/>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2100" w:type="dxa"/>
            <w:vAlign w:val="bottom"/>
            <w:gridSpan w:val="2"/>
            <w:shd w:val="clear" w:color="auto" w:fill="CCEEFF"/>
          </w:tcPr>
          <w:p>
            <w:pPr>
              <w:jc w:val="right"/>
              <w:ind w:right="277"/>
              <w:spacing w:after="0" w:line="18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(7,112)</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77"/>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(9,786)</w:t>
            </w:r>
          </w:p>
        </w:tc>
        <w:tc>
          <w:tcPr>
            <w:tcW w:w="0" w:type="dxa"/>
            <w:vAlign w:val="bottom"/>
          </w:tcPr>
          <w:p>
            <w:pPr>
              <w:spacing w:after="0"/>
              <w:rPr>
                <w:sz w:val="1"/>
                <w:szCs w:val="1"/>
                <w:color w:val="auto"/>
              </w:rPr>
            </w:pPr>
          </w:p>
        </w:tc>
      </w:tr>
      <w:tr>
        <w:trPr>
          <w:trHeight w:val="186"/>
        </w:trPr>
        <w:tc>
          <w:tcPr>
            <w:tcW w:w="562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2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Amortization of actuarial (gains) losses</w:t>
            </w:r>
          </w:p>
        </w:tc>
        <w:tc>
          <w:tcPr>
            <w:tcW w:w="1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80"/>
              <w:spacing w:after="0" w:line="18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ind w:left="220"/>
              <w:spacing w:after="0" w:line="186" w:lineRule="exact"/>
              <w:rPr>
                <w:sz w:val="20"/>
                <w:szCs w:val="20"/>
                <w:color w:val="auto"/>
              </w:rPr>
            </w:pPr>
            <w:r>
              <w:rPr>
                <w:rFonts w:ascii="Times New Roman" w:cs="Times New Roman" w:eastAsia="Times New Roman" w:hAnsi="Times New Roman"/>
                <w:sz w:val="18"/>
                <w:szCs w:val="18"/>
                <w:color w:val="auto"/>
              </w:rPr>
              <w:t>Actuarial gains (losses)</w:t>
            </w:r>
          </w:p>
        </w:tc>
        <w:tc>
          <w:tcPr>
            <w:tcW w:w="16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1,173</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(9,496)</w:t>
            </w:r>
          </w:p>
        </w:tc>
        <w:tc>
          <w:tcPr>
            <w:tcW w:w="0" w:type="dxa"/>
            <w:vAlign w:val="bottom"/>
          </w:tcPr>
          <w:p>
            <w:pPr>
              <w:spacing w:after="0"/>
              <w:rPr>
                <w:sz w:val="1"/>
                <w:szCs w:val="1"/>
                <w:color w:val="auto"/>
              </w:rPr>
            </w:pPr>
          </w:p>
        </w:tc>
      </w:tr>
      <w:tr>
        <w:trPr>
          <w:trHeight w:val="206"/>
        </w:trPr>
        <w:tc>
          <w:tcPr>
            <w:tcW w:w="5620" w:type="dxa"/>
            <w:vAlign w:val="bottom"/>
            <w:tcBorders>
              <w:bottom w:val="single" w:sz="8" w:color="CCEEFF"/>
            </w:tcBorders>
            <w:shd w:val="clear" w:color="auto" w:fill="CCEEFF"/>
          </w:tcPr>
          <w:p>
            <w:pPr>
              <w:ind w:left="320"/>
              <w:spacing w:after="0" w:line="186" w:lineRule="exact"/>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6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1,133</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(8,974)</w:t>
            </w:r>
          </w:p>
        </w:tc>
        <w:tc>
          <w:tcPr>
            <w:tcW w:w="0" w:type="dxa"/>
            <w:vAlign w:val="bottom"/>
          </w:tcPr>
          <w:p>
            <w:pPr>
              <w:spacing w:after="0"/>
              <w:rPr>
                <w:sz w:val="1"/>
                <w:szCs w:val="1"/>
                <w:color w:val="auto"/>
              </w:rPr>
            </w:pPr>
          </w:p>
        </w:tc>
      </w:tr>
      <w:tr>
        <w:trPr>
          <w:trHeight w:val="172"/>
        </w:trPr>
        <w:tc>
          <w:tcPr>
            <w:tcW w:w="5620" w:type="dxa"/>
            <w:vAlign w:val="bottom"/>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660" w:type="dxa"/>
            <w:vAlign w:val="bottom"/>
          </w:tcPr>
          <w:p>
            <w:pPr>
              <w:spacing w:after="0"/>
              <w:rPr>
                <w:sz w:val="14"/>
                <w:szCs w:val="14"/>
                <w:color w:val="auto"/>
              </w:rPr>
            </w:pPr>
          </w:p>
        </w:tc>
        <w:tc>
          <w:tcPr>
            <w:tcW w:w="440" w:type="dxa"/>
            <w:vAlign w:val="bottom"/>
            <w:tcBorders>
              <w:bottom w:val="single" w:sz="8" w:color="auto"/>
            </w:tcBorders>
          </w:tcPr>
          <w:p>
            <w:pPr>
              <w:jc w:val="right"/>
              <w:ind w:right="277"/>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(5,979)</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77"/>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(18,760)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accompanying Notes to the Consolidated Financial Statements.</w:t>
      </w:r>
    </w:p>
    <w:p>
      <w:pPr>
        <w:spacing w:after="0" w:line="200" w:lineRule="exact"/>
        <w:rPr>
          <w:sz w:val="20"/>
          <w:szCs w:val="20"/>
          <w:color w:val="auto"/>
        </w:rPr>
      </w:pPr>
    </w:p>
    <w:p>
      <w:pPr>
        <w:spacing w:after="0" w:line="295" w:lineRule="exact"/>
        <w:rPr>
          <w:sz w:val="20"/>
          <w:szCs w:val="20"/>
          <w:color w:val="auto"/>
        </w:rPr>
      </w:pPr>
    </w:p>
    <w:p>
      <w:pPr>
        <w:jc w:val="right"/>
        <w:spacing w:after="0"/>
        <w:tabs>
          <w:tab w:leader="none" w:pos="6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DallasNews Corporation and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20" w:type="dxa"/>
            <w:vAlign w:val="bottom"/>
            <w:gridSpan w:val="3"/>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620" w:type="dxa"/>
            <w:vAlign w:val="bottom"/>
            <w:gridSpan w:val="3"/>
          </w:tcPr>
          <w:p>
            <w:pPr>
              <w:ind w:left="100"/>
              <w:spacing w:after="0" w:line="186" w:lineRule="exact"/>
              <w:rPr>
                <w:sz w:val="20"/>
                <w:szCs w:val="20"/>
                <w:color w:val="auto"/>
              </w:rPr>
            </w:pPr>
            <w:r>
              <w:rPr>
                <w:rFonts w:ascii="Times New Roman" w:cs="Times New Roman" w:eastAsia="Times New Roman" w:hAnsi="Times New Roman"/>
                <w:sz w:val="18"/>
                <w:szCs w:val="18"/>
                <w:color w:val="auto"/>
              </w:rPr>
              <w:t>Current assets:</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20" w:type="dxa"/>
            <w:vAlign w:val="bottom"/>
            <w:gridSpan w:val="3"/>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gridSpan w:val="2"/>
            <w:shd w:val="clear" w:color="auto" w:fill="CCEEFF"/>
          </w:tcPr>
          <w:p>
            <w:pPr>
              <w:jc w:val="right"/>
              <w:ind w:right="12"/>
              <w:spacing w:after="0" w:line="18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11,697</w:t>
            </w:r>
          </w:p>
        </w:tc>
        <w:tc>
          <w:tcPr>
            <w:tcW w:w="380" w:type="dxa"/>
            <w:vAlign w:val="bottom"/>
            <w:gridSpan w:val="2"/>
            <w:shd w:val="clear" w:color="auto" w:fill="CCEEFF"/>
          </w:tcPr>
          <w:p>
            <w:pPr>
              <w:jc w:val="right"/>
              <w:ind w:right="37"/>
              <w:spacing w:after="0" w:line="18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27,825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620" w:type="dxa"/>
            <w:vAlign w:val="bottom"/>
            <w:gridSpan w:val="3"/>
          </w:tcPr>
          <w:p>
            <w:pPr>
              <w:ind w:left="220"/>
              <w:spacing w:after="0" w:line="186" w:lineRule="exact"/>
              <w:rPr>
                <w:sz w:val="20"/>
                <w:szCs w:val="20"/>
                <w:color w:val="auto"/>
              </w:rPr>
            </w:pPr>
            <w:r>
              <w:rPr>
                <w:rFonts w:ascii="Times New Roman" w:cs="Times New Roman" w:eastAsia="Times New Roman" w:hAnsi="Times New Roman"/>
                <w:sz w:val="18"/>
                <w:szCs w:val="18"/>
                <w:color w:val="auto"/>
              </w:rPr>
              <w:t>Short-term investments</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10,781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7620" w:type="dxa"/>
            <w:vAlign w:val="bottom"/>
            <w:gridSpan w:val="3"/>
            <w:shd w:val="clear" w:color="auto" w:fill="CCEEFF"/>
          </w:tcPr>
          <w:p>
            <w:pPr>
              <w:ind w:left="220"/>
              <w:spacing w:after="0" w:line="167" w:lineRule="exact"/>
              <w:rPr>
                <w:sz w:val="20"/>
                <w:szCs w:val="20"/>
                <w:color w:val="auto"/>
              </w:rPr>
            </w:pPr>
            <w:r>
              <w:rPr>
                <w:rFonts w:ascii="Times New Roman" w:cs="Times New Roman" w:eastAsia="Times New Roman" w:hAnsi="Times New Roman"/>
                <w:sz w:val="18"/>
                <w:szCs w:val="18"/>
                <w:color w:val="auto"/>
              </w:rPr>
              <w:t>Accounts receivable (net of allowance of $207 and $490 at December 31, 2023</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6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2022, respectively)</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7620" w:type="dxa"/>
            <w:vAlign w:val="bottom"/>
            <w:gridSpan w:val="3"/>
          </w:tcPr>
          <w:p>
            <w:pPr>
              <w:ind w:left="220"/>
              <w:spacing w:after="0" w:line="186" w:lineRule="exact"/>
              <w:rPr>
                <w:sz w:val="20"/>
                <w:szCs w:val="20"/>
                <w:color w:val="auto"/>
              </w:rPr>
            </w:pPr>
            <w:r>
              <w:rPr>
                <w:rFonts w:ascii="Times New Roman" w:cs="Times New Roman" w:eastAsia="Times New Roman" w:hAnsi="Times New Roman"/>
                <w:sz w:val="18"/>
                <w:szCs w:val="18"/>
                <w:color w:val="auto"/>
              </w:rPr>
              <w:t>Inventories</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1,930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2,725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20" w:type="dxa"/>
            <w:vAlign w:val="bottom"/>
            <w:tcBorders>
              <w:bottom w:val="single" w:sz="8" w:color="CCEEFF"/>
            </w:tcBorders>
            <w:gridSpan w:val="3"/>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Prepaids and other current assets</w:t>
            </w:r>
          </w:p>
        </w:tc>
        <w:tc>
          <w:tcPr>
            <w:tcW w:w="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2,602</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3,352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7620" w:type="dxa"/>
            <w:vAlign w:val="bottom"/>
            <w:tcBorders>
              <w:bottom w:val="single" w:sz="8" w:color="CCEEFF"/>
            </w:tcBorders>
            <w:gridSpan w:val="3"/>
          </w:tcPr>
          <w:p>
            <w:pPr>
              <w:ind w:left="540"/>
              <w:spacing w:after="0" w:line="172" w:lineRule="exact"/>
              <w:rPr>
                <w:sz w:val="20"/>
                <w:szCs w:val="20"/>
                <w:color w:val="auto"/>
              </w:rPr>
            </w:pPr>
            <w:r>
              <w:rPr>
                <w:rFonts w:ascii="Times New Roman" w:cs="Times New Roman" w:eastAsia="Times New Roman" w:hAnsi="Times New Roman"/>
                <w:sz w:val="18"/>
                <w:szCs w:val="18"/>
                <w:color w:val="auto"/>
              </w:rPr>
              <w:t>Total current assets</w:t>
            </w:r>
          </w:p>
        </w:tc>
        <w:tc>
          <w:tcPr>
            <w:tcW w:w="6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36,933</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47,925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620" w:type="dxa"/>
            <w:vAlign w:val="bottom"/>
            <w:gridSpan w:val="3"/>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Property, plant and equipment, at cost</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307,436</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313,440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620" w:type="dxa"/>
            <w:vAlign w:val="bottom"/>
            <w:tcBorders>
              <w:bottom w:val="single" w:sz="8" w:color="CCEEFF"/>
            </w:tcBorders>
            <w:gridSpan w:val="3"/>
          </w:tcPr>
          <w:p>
            <w:pPr>
              <w:ind w:left="220"/>
              <w:spacing w:after="0" w:line="186"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(300,337)</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(306,002)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20" w:type="dxa"/>
            <w:vAlign w:val="bottom"/>
            <w:gridSpan w:val="3"/>
            <w:shd w:val="clear" w:color="auto" w:fill="CCEEFF"/>
          </w:tcPr>
          <w:p>
            <w:pPr>
              <w:ind w:left="540"/>
              <w:spacing w:after="0" w:line="186"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7,099</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7,438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620" w:type="dxa"/>
            <w:vAlign w:val="bottom"/>
            <w:gridSpan w:val="3"/>
          </w:tcPr>
          <w:p>
            <w:pPr>
              <w:ind w:left="100"/>
              <w:spacing w:after="0" w:line="186"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16,141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14,811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20" w:type="dxa"/>
            <w:vAlign w:val="bottom"/>
            <w:gridSpan w:val="3"/>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Deferred income taxes, net</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271</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620" w:type="dxa"/>
            <w:vAlign w:val="bottom"/>
            <w:tcBorders>
              <w:bottom w:val="single" w:sz="8" w:color="CCEEFF"/>
            </w:tcBorders>
            <w:gridSpan w:val="3"/>
          </w:tcPr>
          <w:p>
            <w:pPr>
              <w:ind w:left="100"/>
              <w:spacing w:after="0" w:line="186" w:lineRule="exact"/>
              <w:rPr>
                <w:sz w:val="20"/>
                <w:szCs w:val="20"/>
                <w:color w:val="auto"/>
              </w:rPr>
            </w:pPr>
            <w:r>
              <w:rPr>
                <w:rFonts w:ascii="Times New Roman" w:cs="Times New Roman" w:eastAsia="Times New Roman" w:hAnsi="Times New Roman"/>
                <w:sz w:val="18"/>
                <w:szCs w:val="18"/>
                <w:color w:val="auto"/>
              </w:rPr>
              <w:t>Other assets</w:t>
            </w:r>
          </w:p>
        </w:tc>
        <w:tc>
          <w:tcPr>
            <w:tcW w:w="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1,790</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1,809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20" w:type="dxa"/>
            <w:vAlign w:val="bottom"/>
            <w:tcBorders>
              <w:bottom w:val="single" w:sz="8" w:color="CCEEFF"/>
            </w:tcBorders>
            <w:gridSpan w:val="3"/>
            <w:shd w:val="clear" w:color="auto" w:fill="CCEEFF"/>
          </w:tcPr>
          <w:p>
            <w:pPr>
              <w:ind w:left="540"/>
              <w:spacing w:after="0" w:line="186" w:lineRule="exact"/>
              <w:rPr>
                <w:sz w:val="20"/>
                <w:szCs w:val="20"/>
                <w:color w:val="auto"/>
              </w:rPr>
            </w:pPr>
            <w:r>
              <w:rPr>
                <w:rFonts w:ascii="Times New Roman" w:cs="Times New Roman" w:eastAsia="Times New Roman" w:hAnsi="Times New Roman"/>
                <w:sz w:val="18"/>
                <w:szCs w:val="18"/>
                <w:color w:val="auto"/>
              </w:rPr>
              <w:t>Total assets</w:t>
            </w:r>
          </w:p>
        </w:tc>
        <w:tc>
          <w:tcPr>
            <w:tcW w:w="6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12"/>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62,234</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72,265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62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620" w:type="dxa"/>
            <w:vAlign w:val="bottom"/>
            <w:gridSpan w:val="3"/>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Current liabilities:</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20" w:type="dxa"/>
            <w:vAlign w:val="bottom"/>
            <w:gridSpan w:val="3"/>
          </w:tcPr>
          <w:p>
            <w:pPr>
              <w:ind w:left="220"/>
              <w:spacing w:after="0" w:line="186" w:lineRule="exact"/>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gridSpan w:val="2"/>
          </w:tcPr>
          <w:p>
            <w:pPr>
              <w:jc w:val="right"/>
              <w:ind w:right="12"/>
              <w:spacing w:after="0" w:line="18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3,963</w:t>
            </w:r>
          </w:p>
        </w:tc>
        <w:tc>
          <w:tcPr>
            <w:tcW w:w="380" w:type="dxa"/>
            <w:vAlign w:val="bottom"/>
            <w:gridSpan w:val="2"/>
          </w:tcPr>
          <w:p>
            <w:pPr>
              <w:jc w:val="right"/>
              <w:ind w:right="37"/>
              <w:spacing w:after="0" w:line="18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5,041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620" w:type="dxa"/>
            <w:vAlign w:val="bottom"/>
            <w:gridSpan w:val="3"/>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Accrued compensation and benefits</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3,901</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4,154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20" w:type="dxa"/>
            <w:vAlign w:val="bottom"/>
            <w:gridSpan w:val="3"/>
          </w:tcPr>
          <w:p>
            <w:pPr>
              <w:ind w:left="220"/>
              <w:spacing w:after="0" w:line="186" w:lineRule="exact"/>
              <w:rPr>
                <w:sz w:val="20"/>
                <w:szCs w:val="20"/>
                <w:color w:val="auto"/>
              </w:rPr>
            </w:pPr>
            <w:r>
              <w:rPr>
                <w:rFonts w:ascii="Times New Roman" w:cs="Times New Roman" w:eastAsia="Times New Roman" w:hAnsi="Times New Roman"/>
                <w:sz w:val="18"/>
                <w:szCs w:val="18"/>
                <w:color w:val="auto"/>
              </w:rPr>
              <w:t>Other accrued expense</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6,548</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4,060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20" w:type="dxa"/>
            <w:vAlign w:val="bottom"/>
            <w:tcBorders>
              <w:bottom w:val="single" w:sz="8" w:color="CCEEFF"/>
            </w:tcBorders>
            <w:gridSpan w:val="3"/>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Contract liabilities</w:t>
            </w:r>
          </w:p>
        </w:tc>
        <w:tc>
          <w:tcPr>
            <w:tcW w:w="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9,511</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9,504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7620" w:type="dxa"/>
            <w:vAlign w:val="bottom"/>
            <w:tcBorders>
              <w:bottom w:val="single" w:sz="8" w:color="CCEEFF"/>
            </w:tcBorders>
            <w:gridSpan w:val="3"/>
          </w:tcPr>
          <w:p>
            <w:pPr>
              <w:ind w:left="540"/>
              <w:spacing w:after="0" w:line="172" w:lineRule="exact"/>
              <w:rPr>
                <w:sz w:val="20"/>
                <w:szCs w:val="20"/>
                <w:color w:val="auto"/>
              </w:rPr>
            </w:pPr>
            <w:r>
              <w:rPr>
                <w:rFonts w:ascii="Times New Roman" w:cs="Times New Roman" w:eastAsia="Times New Roman" w:hAnsi="Times New Roman"/>
                <w:sz w:val="18"/>
                <w:szCs w:val="18"/>
                <w:color w:val="auto"/>
              </w:rPr>
              <w:t>Total current liabilities</w:t>
            </w:r>
          </w:p>
        </w:tc>
        <w:tc>
          <w:tcPr>
            <w:tcW w:w="6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23,923</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22,759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620" w:type="dxa"/>
            <w:vAlign w:val="bottom"/>
            <w:gridSpan w:val="3"/>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Long-term pension liabilities</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17,353</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19,455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20" w:type="dxa"/>
            <w:vAlign w:val="bottom"/>
            <w:gridSpan w:val="3"/>
          </w:tcPr>
          <w:p>
            <w:pPr>
              <w:ind w:left="100"/>
              <w:spacing w:after="0" w:line="186" w:lineRule="exact"/>
              <w:rPr>
                <w:sz w:val="20"/>
                <w:szCs w:val="20"/>
                <w:color w:val="auto"/>
              </w:rPr>
            </w:pPr>
            <w:r>
              <w:rPr>
                <w:rFonts w:ascii="Times New Roman" w:cs="Times New Roman" w:eastAsia="Times New Roman" w:hAnsi="Times New Roman"/>
                <w:sz w:val="18"/>
                <w:szCs w:val="18"/>
                <w:color w:val="auto"/>
              </w:rPr>
              <w:t>Long-term operating lease liabilities</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16,924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16,546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20" w:type="dxa"/>
            <w:vAlign w:val="bottom"/>
            <w:gridSpan w:val="3"/>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Other post-employment benefits</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996</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982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620" w:type="dxa"/>
            <w:vAlign w:val="bottom"/>
            <w:tcBorders>
              <w:bottom w:val="single" w:sz="8" w:color="CCEEFF"/>
            </w:tcBorders>
            <w:gridSpan w:val="3"/>
          </w:tcPr>
          <w:p>
            <w:pPr>
              <w:ind w:left="100"/>
              <w:spacing w:after="0" w:line="186" w:lineRule="exact"/>
              <w:rPr>
                <w:sz w:val="20"/>
                <w:szCs w:val="20"/>
                <w:color w:val="auto"/>
              </w:rPr>
            </w:pPr>
            <w:r>
              <w:rPr>
                <w:rFonts w:ascii="Times New Roman" w:cs="Times New Roman" w:eastAsia="Times New Roman" w:hAnsi="Times New Roman"/>
                <w:sz w:val="18"/>
                <w:szCs w:val="18"/>
                <w:color w:val="auto"/>
              </w:rPr>
              <w:t>Other liabilities</w:t>
            </w:r>
          </w:p>
        </w:tc>
        <w:tc>
          <w:tcPr>
            <w:tcW w:w="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620" w:type="dxa"/>
            <w:vAlign w:val="bottom"/>
            <w:gridSpan w:val="3"/>
            <w:shd w:val="clear" w:color="auto" w:fill="CCEEFF"/>
          </w:tcPr>
          <w:p>
            <w:pPr>
              <w:ind w:left="540"/>
              <w:spacing w:after="0" w:line="186" w:lineRule="exact"/>
              <w:rPr>
                <w:sz w:val="20"/>
                <w:szCs w:val="20"/>
                <w:color w:val="auto"/>
              </w:rPr>
            </w:pPr>
            <w:r>
              <w:rPr>
                <w:rFonts w:ascii="Times New Roman" w:cs="Times New Roman" w:eastAsia="Times New Roman" w:hAnsi="Times New Roman"/>
                <w:sz w:val="18"/>
                <w:szCs w:val="18"/>
                <w:color w:val="auto"/>
              </w:rPr>
              <w:t>Total liabilities</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59,276</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59,902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620" w:type="dxa"/>
            <w:vAlign w:val="bottom"/>
            <w:gridSpan w:val="3"/>
          </w:tcPr>
          <w:p>
            <w:pPr>
              <w:ind w:left="100"/>
              <w:spacing w:after="0" w:line="159" w:lineRule="exact"/>
              <w:rPr>
                <w:sz w:val="20"/>
                <w:szCs w:val="20"/>
                <w:color w:val="auto"/>
              </w:rPr>
            </w:pPr>
            <w:r>
              <w:rPr>
                <w:rFonts w:ascii="Times New Roman" w:cs="Times New Roman" w:eastAsia="Times New Roman" w:hAnsi="Times New Roman"/>
                <w:sz w:val="18"/>
                <w:szCs w:val="18"/>
                <w:color w:val="auto"/>
              </w:rPr>
              <w:t xml:space="preserve">Commitments and contingencies (see </w:t>
            </w:r>
            <w:r>
              <w:rPr>
                <w:rFonts w:ascii="Times New Roman" w:cs="Times New Roman" w:eastAsia="Times New Roman" w:hAnsi="Times New Roman"/>
                <w:sz w:val="18"/>
                <w:szCs w:val="18"/>
                <w:color w:val="0000FF"/>
              </w:rPr>
              <w:t>Note 9</w:t>
            </w:r>
            <w:r>
              <w:rPr>
                <w:rFonts w:ascii="Times New Roman" w:cs="Times New Roman" w:eastAsia="Times New Roman" w:hAnsi="Times New Roman"/>
                <w:sz w:val="18"/>
                <w:szCs w:val="18"/>
                <w:color w:val="auto"/>
              </w:rPr>
              <w: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80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Shareholders’ equity:</w:t>
            </w:r>
          </w:p>
        </w:tc>
        <w:tc>
          <w:tcPr>
            <w:tcW w:w="480" w:type="dxa"/>
            <w:vAlign w:val="bottom"/>
            <w:tcBorders>
              <w:top w:val="single" w:sz="8" w:color="0000FF"/>
            </w:tcBorders>
            <w:shd w:val="clear" w:color="auto" w:fill="CCEEFF"/>
          </w:tcPr>
          <w:p>
            <w:pPr>
              <w:spacing w:after="0"/>
              <w:rPr>
                <w:sz w:val="16"/>
                <w:szCs w:val="16"/>
                <w:color w:val="auto"/>
              </w:rPr>
            </w:pPr>
          </w:p>
        </w:tc>
        <w:tc>
          <w:tcPr>
            <w:tcW w:w="4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20" w:type="dxa"/>
            <w:vAlign w:val="bottom"/>
            <w:gridSpan w:val="3"/>
          </w:tcPr>
          <w:p>
            <w:pPr>
              <w:ind w:left="220"/>
              <w:spacing w:after="0" w:line="186" w:lineRule="exact"/>
              <w:rPr>
                <w:sz w:val="20"/>
                <w:szCs w:val="20"/>
                <w:color w:val="auto"/>
              </w:rPr>
            </w:pPr>
            <w:r>
              <w:rPr>
                <w:rFonts w:ascii="Times New Roman" w:cs="Times New Roman" w:eastAsia="Times New Roman" w:hAnsi="Times New Roman"/>
                <w:sz w:val="18"/>
                <w:szCs w:val="18"/>
                <w:color w:val="auto"/>
              </w:rPr>
              <w:t>Preferred stock, $0.01 par value; Authorized 2,000,000 shares; none issued</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620" w:type="dxa"/>
            <w:vAlign w:val="bottom"/>
            <w:gridSpan w:val="3"/>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Common stock, $0.01 par value; Authorized 31,250,000 shares</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620" w:type="dxa"/>
            <w:vAlign w:val="bottom"/>
            <w:gridSpan w:val="3"/>
          </w:tcPr>
          <w:p>
            <w:pPr>
              <w:ind w:left="320"/>
              <w:spacing w:after="0" w:line="186" w:lineRule="exact"/>
              <w:rPr>
                <w:sz w:val="20"/>
                <w:szCs w:val="20"/>
                <w:color w:val="auto"/>
              </w:rPr>
            </w:pPr>
            <w:r>
              <w:rPr>
                <w:rFonts w:ascii="Times New Roman" w:cs="Times New Roman" w:eastAsia="Times New Roman" w:hAnsi="Times New Roman"/>
                <w:sz w:val="18"/>
                <w:szCs w:val="18"/>
                <w:color w:val="auto"/>
              </w:rPr>
              <w:t>Series A: issued 5,216,317 and 5,216,237 shares at December 31, 2023 and 2022, respectively</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620" w:type="dxa"/>
            <w:vAlign w:val="bottom"/>
            <w:gridSpan w:val="3"/>
            <w:shd w:val="clear" w:color="auto" w:fill="CCEEFF"/>
          </w:tcPr>
          <w:p>
            <w:pPr>
              <w:ind w:left="320"/>
              <w:spacing w:after="0" w:line="186" w:lineRule="exact"/>
              <w:rPr>
                <w:sz w:val="20"/>
                <w:szCs w:val="20"/>
                <w:color w:val="auto"/>
              </w:rPr>
            </w:pPr>
            <w:r>
              <w:rPr>
                <w:rFonts w:ascii="Times New Roman" w:cs="Times New Roman" w:eastAsia="Times New Roman" w:hAnsi="Times New Roman"/>
                <w:sz w:val="18"/>
                <w:szCs w:val="18"/>
                <w:color w:val="auto"/>
              </w:rPr>
              <w:t>Series B: issued 614,638 and 614,718 shares at December 31, 2023 and 2022, respectively</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620" w:type="dxa"/>
            <w:vAlign w:val="bottom"/>
            <w:gridSpan w:val="3"/>
          </w:tcPr>
          <w:p>
            <w:pPr>
              <w:ind w:left="220"/>
              <w:spacing w:after="0" w:line="186" w:lineRule="exact"/>
              <w:rPr>
                <w:sz w:val="20"/>
                <w:szCs w:val="20"/>
                <w:color w:val="auto"/>
              </w:rPr>
            </w:pPr>
            <w:r>
              <w:rPr>
                <w:rFonts w:ascii="Times New Roman" w:cs="Times New Roman" w:eastAsia="Times New Roman" w:hAnsi="Times New Roman"/>
                <w:sz w:val="18"/>
                <w:szCs w:val="18"/>
                <w:color w:val="auto"/>
              </w:rPr>
              <w:t>Treasury stock, Series A, at cost; 478,465 shares held at December 31, 2023 and 2022</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(13,443)</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(13,443)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620" w:type="dxa"/>
            <w:vAlign w:val="bottom"/>
            <w:gridSpan w:val="3"/>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Additional paid-in capital</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494,563</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494,563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20" w:type="dxa"/>
            <w:vAlign w:val="bottom"/>
            <w:gridSpan w:val="3"/>
          </w:tcPr>
          <w:p>
            <w:pPr>
              <w:ind w:left="220"/>
              <w:spacing w:after="0" w:line="186"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(40,247)</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(41,380)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620" w:type="dxa"/>
            <w:vAlign w:val="bottom"/>
            <w:tcBorders>
              <w:bottom w:val="single" w:sz="8" w:color="CCEEFF"/>
            </w:tcBorders>
            <w:gridSpan w:val="3"/>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Accumulated deficit</w:t>
            </w:r>
          </w:p>
        </w:tc>
        <w:tc>
          <w:tcPr>
            <w:tcW w:w="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(437,973)</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(427,435)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7620" w:type="dxa"/>
            <w:vAlign w:val="bottom"/>
            <w:tcBorders>
              <w:bottom w:val="single" w:sz="8" w:color="CCEEFF"/>
            </w:tcBorders>
            <w:gridSpan w:val="3"/>
          </w:tcPr>
          <w:p>
            <w:pPr>
              <w:ind w:left="640"/>
              <w:spacing w:after="0" w:line="172" w:lineRule="exact"/>
              <w:rPr>
                <w:sz w:val="20"/>
                <w:szCs w:val="20"/>
                <w:color w:val="auto"/>
              </w:rPr>
            </w:pPr>
            <w:r>
              <w:rPr>
                <w:rFonts w:ascii="Times New Roman" w:cs="Times New Roman" w:eastAsia="Times New Roman" w:hAnsi="Times New Roman"/>
                <w:sz w:val="18"/>
                <w:szCs w:val="18"/>
                <w:color w:val="auto"/>
              </w:rPr>
              <w:t>Total shareholders’ equity</w:t>
            </w:r>
          </w:p>
        </w:tc>
        <w:tc>
          <w:tcPr>
            <w:tcW w:w="6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2,958</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12,363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620" w:type="dxa"/>
            <w:vAlign w:val="bottom"/>
            <w:tcBorders>
              <w:bottom w:val="single" w:sz="8" w:color="CCEEFF"/>
            </w:tcBorders>
            <w:gridSpan w:val="3"/>
            <w:shd w:val="clear" w:color="auto" w:fill="CCEEFF"/>
          </w:tcPr>
          <w:p>
            <w:pPr>
              <w:ind w:left="740"/>
              <w:spacing w:after="0" w:line="186"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6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12"/>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62,234</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72,265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See the accompanying Notes to the Consolidated Financial Statements.</w:t>
            </w: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762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40" w:type="dxa"/>
            <w:vAlign w:val="bottom"/>
            <w:gridSpan w:val="7"/>
          </w:tcPr>
          <w:p>
            <w:pPr>
              <w:ind w:left="2660"/>
              <w:spacing w:after="0"/>
              <w:rPr>
                <w:sz w:val="20"/>
                <w:szCs w:val="20"/>
                <w:color w:val="auto"/>
              </w:rPr>
            </w:pPr>
            <w:r>
              <w:rPr>
                <w:rFonts w:ascii="Times New Roman" w:cs="Times New Roman" w:eastAsia="Times New Roman" w:hAnsi="Times New Roman"/>
                <w:sz w:val="18"/>
                <w:szCs w:val="18"/>
                <w:color w:val="auto"/>
                <w:w w:val="99"/>
              </w:rPr>
              <w:t>DallasNews Corporation 2023 Annual Report on Form 10-K</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PAGE 28</w:t>
            </w:r>
          </w:p>
        </w:tc>
        <w:tc>
          <w:tcPr>
            <w:tcW w:w="0" w:type="dxa"/>
            <w:vAlign w:val="bottom"/>
          </w:tcPr>
          <w:p>
            <w:pPr>
              <w:spacing w:after="0"/>
              <w:rPr>
                <w:sz w:val="1"/>
                <w:szCs w:val="1"/>
                <w:color w:val="auto"/>
              </w:rPr>
            </w:pPr>
          </w:p>
        </w:tc>
      </w:tr>
      <w:tr>
        <w:trPr>
          <w:trHeight w:val="323"/>
        </w:trPr>
        <w:tc>
          <w:tcPr>
            <w:tcW w:w="2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DallasNews Corporation and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136525</wp:posOffset>
            </wp:positionV>
            <wp:extent cx="567055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5670550" cy="16510"/>
                    </a:xfrm>
                    <a:prstGeom prst="rect">
                      <a:avLst/>
                    </a:prstGeom>
                    <a:noFill/>
                  </pic:spPr>
                </pic:pic>
              </a:graphicData>
            </a:graphic>
          </wp:anchor>
        </w:drawing>
      </w:r>
    </w:p>
    <w:p>
      <w:pPr>
        <w:spacing w:after="0" w:line="19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 2023 and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320" w:type="dxa"/>
            <w:vAlign w:val="bottom"/>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3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80" w:type="dxa"/>
            <w:vAlign w:val="bottom"/>
            <w:tcBorders>
              <w:top w:val="single" w:sz="8" w:color="auto"/>
              <w:bottom w:val="single" w:sz="8" w:color="auto"/>
            </w:tcBorders>
            <w:gridSpan w:val="4"/>
          </w:tcPr>
          <w:p>
            <w:pPr>
              <w:ind w:left="54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vMerge w:val="restart"/>
          </w:tcPr>
          <w:p>
            <w:pPr>
              <w:jc w:val="center"/>
              <w:ind w:right="51"/>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w:t>
            </w: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center"/>
              <w:ind w:right="311"/>
              <w:spacing w:after="0" w:line="133"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51"/>
              <w:spacing w:after="0" w:line="133"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20" w:type="dxa"/>
            <w:vAlign w:val="bottom"/>
            <w:vMerge w:val="continue"/>
          </w:tcPr>
          <w:p>
            <w:pPr>
              <w:spacing w:after="0"/>
              <w:rPr>
                <w:sz w:val="10"/>
                <w:szCs w:val="10"/>
                <w:color w:val="auto"/>
              </w:rPr>
            </w:pPr>
          </w:p>
        </w:tc>
        <w:tc>
          <w:tcPr>
            <w:tcW w:w="840" w:type="dxa"/>
            <w:vAlign w:val="bottom"/>
          </w:tcPr>
          <w:p>
            <w:pPr>
              <w:ind w:left="220"/>
              <w:spacing w:after="0" w:line="126"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00" w:type="dxa"/>
            <w:vAlign w:val="bottom"/>
          </w:tcPr>
          <w:p>
            <w:pPr>
              <w:jc w:val="center"/>
              <w:ind w:left="11"/>
              <w:spacing w:after="0" w:line="126" w:lineRule="exact"/>
              <w:rPr>
                <w:sz w:val="20"/>
                <w:szCs w:val="20"/>
                <w:color w:val="auto"/>
              </w:rPr>
            </w:pPr>
            <w:r>
              <w:rPr>
                <w:rFonts w:ascii="Times New Roman" w:cs="Times New Roman" w:eastAsia="Times New Roman" w:hAnsi="Times New Roman"/>
                <w:sz w:val="12"/>
                <w:szCs w:val="12"/>
                <w:b w:val="1"/>
                <w:bCs w:val="1"/>
                <w:color w:val="auto"/>
              </w:rPr>
              <w:t>Shares</w:t>
            </w: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jc w:val="center"/>
              <w:ind w:right="311"/>
              <w:spacing w:after="0" w:line="126" w:lineRule="exact"/>
              <w:rPr>
                <w:sz w:val="20"/>
                <w:szCs w:val="20"/>
                <w:color w:val="auto"/>
              </w:rPr>
            </w:pPr>
            <w:r>
              <w:rPr>
                <w:rFonts w:ascii="Times New Roman" w:cs="Times New Roman" w:eastAsia="Times New Roman" w:hAnsi="Times New Roman"/>
                <w:sz w:val="12"/>
                <w:szCs w:val="12"/>
                <w:b w:val="1"/>
                <w:bCs w:val="1"/>
                <w:color w:val="auto"/>
              </w:rPr>
              <w:t>Paid‎-in</w:t>
            </w:r>
          </w:p>
        </w:tc>
        <w:tc>
          <w:tcPr>
            <w:tcW w:w="880" w:type="dxa"/>
            <w:vAlign w:val="bottom"/>
            <w:gridSpan w:val="2"/>
          </w:tcPr>
          <w:p>
            <w:pPr>
              <w:ind w:left="280"/>
              <w:spacing w:after="0" w:line="126" w:lineRule="exact"/>
              <w:rPr>
                <w:sz w:val="20"/>
                <w:szCs w:val="20"/>
                <w:color w:val="auto"/>
              </w:rPr>
            </w:pPr>
            <w:r>
              <w:rPr>
                <w:rFonts w:ascii="Times New Roman" w:cs="Times New Roman" w:eastAsia="Times New Roman" w:hAnsi="Times New Roman"/>
                <w:sz w:val="12"/>
                <w:szCs w:val="12"/>
                <w:b w:val="1"/>
                <w:bCs w:val="1"/>
                <w:color w:val="auto"/>
              </w:rPr>
              <w:t>Shares</w:t>
            </w: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80" w:type="dxa"/>
            <w:vAlign w:val="bottom"/>
          </w:tcPr>
          <w:p>
            <w:pPr>
              <w:spacing w:after="0"/>
              <w:rPr>
                <w:sz w:val="10"/>
                <w:szCs w:val="10"/>
                <w:color w:val="auto"/>
              </w:rPr>
            </w:pPr>
          </w:p>
        </w:tc>
        <w:tc>
          <w:tcPr>
            <w:tcW w:w="900" w:type="dxa"/>
            <w:vAlign w:val="bottom"/>
          </w:tcPr>
          <w:p>
            <w:pPr>
              <w:jc w:val="center"/>
              <w:ind w:right="51"/>
              <w:spacing w:after="0" w:line="12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320" w:type="dxa"/>
            <w:vAlign w:val="bottom"/>
            <w:tcBorders>
              <w:bottom w:val="single" w:sz="8" w:color="auto"/>
            </w:tcBorders>
          </w:tcPr>
          <w:p>
            <w:pPr>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share amounts</w:t>
            </w:r>
          </w:p>
        </w:tc>
        <w:tc>
          <w:tcPr>
            <w:tcW w:w="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‎Series A</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‎Series B</w:t>
            </w:r>
          </w:p>
        </w:tc>
        <w:tc>
          <w:tcPr>
            <w:tcW w:w="800" w:type="dxa"/>
            <w:vAlign w:val="bottom"/>
            <w:tcBorders>
              <w:bottom w:val="single" w:sz="8" w:color="auto"/>
            </w:tcBorders>
            <w:gridSpan w:val="2"/>
          </w:tcPr>
          <w:p>
            <w:pPr>
              <w:jc w:val="right"/>
              <w:ind w:right="129"/>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5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w w:val="97"/>
              </w:rPr>
              <w:t>Series‎</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A</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2"/>
                <w:szCs w:val="12"/>
                <w:b w:val="1"/>
                <w:bCs w:val="1"/>
                <w:color w:val="auto"/>
              </w:rPr>
              <w:t>Loss‎</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9"/>
        </w:trPr>
        <w:tc>
          <w:tcPr>
            <w:tcW w:w="23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at December 31, 2021</w:t>
            </w:r>
          </w:p>
        </w:tc>
        <w:tc>
          <w:tcPr>
            <w:tcW w:w="840" w:type="dxa"/>
            <w:vAlign w:val="bottom"/>
            <w:shd w:val="clear" w:color="auto" w:fill="CCEEFF"/>
          </w:tcPr>
          <w:p>
            <w:pPr>
              <w:jc w:val="center"/>
              <w:ind w:left="31"/>
              <w:spacing w:after="0" w:line="159" w:lineRule="exact"/>
              <w:rPr>
                <w:sz w:val="20"/>
                <w:szCs w:val="20"/>
                <w:color w:val="auto"/>
              </w:rPr>
            </w:pPr>
            <w:r>
              <w:rPr>
                <w:rFonts w:ascii="Times New Roman" w:cs="Times New Roman" w:eastAsia="Times New Roman" w:hAnsi="Times New Roman"/>
                <w:sz w:val="14"/>
                <w:szCs w:val="14"/>
                <w:color w:val="auto"/>
              </w:rPr>
              <w:t>5,216,045</w:t>
            </w:r>
          </w:p>
        </w:tc>
        <w:tc>
          <w:tcPr>
            <w:tcW w:w="100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614,910</w:t>
            </w:r>
          </w:p>
        </w:tc>
        <w:tc>
          <w:tcPr>
            <w:tcW w:w="340" w:type="dxa"/>
            <w:vAlign w:val="bottom"/>
            <w:shd w:val="clear" w:color="auto" w:fill="CCEEFF"/>
          </w:tcPr>
          <w:p>
            <w:pPr>
              <w:jc w:val="right"/>
              <w:ind w:right="92"/>
              <w:spacing w:after="0" w:line="15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109"/>
              <w:spacing w:after="0" w:line="159" w:lineRule="exact"/>
              <w:rPr>
                <w:sz w:val="20"/>
                <w:szCs w:val="20"/>
                <w:color w:val="auto"/>
              </w:rPr>
            </w:pPr>
            <w:r>
              <w:rPr>
                <w:rFonts w:ascii="Times New Roman" w:cs="Times New Roman" w:eastAsia="Times New Roman" w:hAnsi="Times New Roman"/>
                <w:sz w:val="14"/>
                <w:szCs w:val="14"/>
                <w:color w:val="auto"/>
              </w:rPr>
              <w:t>58</w:t>
            </w:r>
          </w:p>
        </w:tc>
        <w:tc>
          <w:tcPr>
            <w:tcW w:w="2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494,563</w:t>
            </w:r>
          </w:p>
        </w:tc>
        <w:tc>
          <w:tcPr>
            <w:tcW w:w="880" w:type="dxa"/>
            <w:vAlign w:val="bottom"/>
            <w:gridSpan w:val="2"/>
            <w:shd w:val="clear" w:color="auto" w:fill="CCEEFF"/>
          </w:tcPr>
          <w:p>
            <w:pPr>
              <w:jc w:val="center"/>
              <w:ind w:left="31"/>
              <w:spacing w:after="0" w:line="159" w:lineRule="exact"/>
              <w:rPr>
                <w:sz w:val="20"/>
                <w:szCs w:val="20"/>
                <w:color w:val="auto"/>
              </w:rPr>
            </w:pPr>
            <w:r>
              <w:rPr>
                <w:rFonts w:ascii="Times New Roman" w:cs="Times New Roman" w:eastAsia="Times New Roman" w:hAnsi="Times New Roman"/>
                <w:sz w:val="14"/>
                <w:szCs w:val="14"/>
                <w:color w:val="auto"/>
                <w:w w:val="98"/>
              </w:rPr>
              <w:t>(478,465)</w:t>
            </w:r>
          </w:p>
        </w:tc>
        <w:tc>
          <w:tcPr>
            <w:tcW w:w="2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(13,443)</w:t>
            </w:r>
          </w:p>
        </w:tc>
        <w:tc>
          <w:tcPr>
            <w:tcW w:w="1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center"/>
              <w:ind w:left="31"/>
              <w:spacing w:after="0" w:line="159" w:lineRule="exact"/>
              <w:rPr>
                <w:sz w:val="20"/>
                <w:szCs w:val="20"/>
                <w:color w:val="auto"/>
              </w:rPr>
            </w:pPr>
            <w:r>
              <w:rPr>
                <w:rFonts w:ascii="Times New Roman" w:cs="Times New Roman" w:eastAsia="Times New Roman" w:hAnsi="Times New Roman"/>
                <w:sz w:val="14"/>
                <w:szCs w:val="14"/>
                <w:color w:val="auto"/>
              </w:rPr>
              <w:t>(32,406)</w:t>
            </w:r>
          </w:p>
        </w:tc>
        <w:tc>
          <w:tcPr>
            <w:tcW w:w="1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center"/>
              <w:ind w:left="51"/>
              <w:spacing w:after="0" w:line="159" w:lineRule="exact"/>
              <w:rPr>
                <w:sz w:val="20"/>
                <w:szCs w:val="20"/>
                <w:color w:val="auto"/>
              </w:rPr>
            </w:pPr>
            <w:r>
              <w:rPr>
                <w:rFonts w:ascii="Times New Roman" w:cs="Times New Roman" w:eastAsia="Times New Roman" w:hAnsi="Times New Roman"/>
                <w:sz w:val="14"/>
                <w:szCs w:val="14"/>
                <w:color w:val="auto"/>
                <w:w w:val="98"/>
              </w:rPr>
              <w:t>(406,195)</w:t>
            </w:r>
          </w:p>
        </w:tc>
        <w:tc>
          <w:tcPr>
            <w:tcW w:w="280" w:type="dxa"/>
            <w:vAlign w:val="bottom"/>
            <w:shd w:val="clear" w:color="auto" w:fill="CCEEFF"/>
          </w:tcPr>
          <w:p>
            <w:pPr>
              <w:jc w:val="right"/>
              <w:ind w:right="29"/>
              <w:spacing w:after="0" w:line="15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42,577</w:t>
            </w:r>
          </w:p>
        </w:tc>
        <w:tc>
          <w:tcPr>
            <w:tcW w:w="0" w:type="dxa"/>
            <w:vAlign w:val="bottom"/>
          </w:tcPr>
          <w:p>
            <w:pPr>
              <w:spacing w:after="0"/>
              <w:rPr>
                <w:sz w:val="1"/>
                <w:szCs w:val="1"/>
                <w:color w:val="auto"/>
              </w:rPr>
            </w:pPr>
          </w:p>
        </w:tc>
      </w:tr>
      <w:tr>
        <w:trPr>
          <w:trHeight w:val="159"/>
        </w:trPr>
        <w:tc>
          <w:tcPr>
            <w:tcW w:w="232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ind w:left="4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ind w:left="3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3"/>
                <w:szCs w:val="13"/>
                <w:color w:val="auto"/>
              </w:rPr>
            </w:pPr>
          </w:p>
        </w:tc>
        <w:tc>
          <w:tcPr>
            <w:tcW w:w="460" w:type="dxa"/>
            <w:vAlign w:val="bottom"/>
          </w:tcPr>
          <w:p>
            <w:pPr>
              <w:jc w:val="right"/>
              <w:ind w:right="89"/>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10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tcPr>
          <w:p>
            <w:pPr>
              <w:jc w:val="center"/>
              <w:ind w:left="33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3"/>
                <w:szCs w:val="13"/>
                <w:color w:val="auto"/>
              </w:rPr>
            </w:pPr>
          </w:p>
        </w:tc>
        <w:tc>
          <w:tcPr>
            <w:tcW w:w="860" w:type="dxa"/>
            <w:vAlign w:val="bottom"/>
          </w:tcPr>
          <w:p>
            <w:pPr>
              <w:jc w:val="center"/>
              <w:ind w:left="1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3"/>
                <w:szCs w:val="13"/>
                <w:color w:val="auto"/>
              </w:rPr>
            </w:pPr>
          </w:p>
        </w:tc>
        <w:tc>
          <w:tcPr>
            <w:tcW w:w="900" w:type="dxa"/>
            <w:vAlign w:val="bottom"/>
          </w:tcPr>
          <w:p>
            <w:pPr>
              <w:jc w:val="center"/>
              <w:ind w:left="51"/>
              <w:spacing w:after="0" w:line="159" w:lineRule="exact"/>
              <w:rPr>
                <w:sz w:val="20"/>
                <w:szCs w:val="20"/>
                <w:color w:val="auto"/>
              </w:rPr>
            </w:pPr>
            <w:r>
              <w:rPr>
                <w:rFonts w:ascii="Times New Roman" w:cs="Times New Roman" w:eastAsia="Times New Roman" w:hAnsi="Times New Roman"/>
                <w:sz w:val="14"/>
                <w:szCs w:val="14"/>
                <w:color w:val="auto"/>
              </w:rPr>
              <w:t>(9,786)</w:t>
            </w:r>
          </w:p>
        </w:tc>
        <w:tc>
          <w:tcPr>
            <w:tcW w:w="280" w:type="dxa"/>
            <w:vAlign w:val="bottom"/>
          </w:tcPr>
          <w:p>
            <w:pPr>
              <w:spacing w:after="0"/>
              <w:rPr>
                <w:sz w:val="13"/>
                <w:szCs w:val="13"/>
                <w:color w:val="auto"/>
              </w:rPr>
            </w:pPr>
          </w:p>
        </w:tc>
        <w:tc>
          <w:tcPr>
            <w:tcW w:w="7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(9,786)</w:t>
            </w:r>
          </w:p>
        </w:tc>
        <w:tc>
          <w:tcPr>
            <w:tcW w:w="0" w:type="dxa"/>
            <w:vAlign w:val="bottom"/>
          </w:tcPr>
          <w:p>
            <w:pPr>
              <w:spacing w:after="0"/>
              <w:rPr>
                <w:sz w:val="1"/>
                <w:szCs w:val="1"/>
                <w:color w:val="auto"/>
              </w:rPr>
            </w:pPr>
          </w:p>
        </w:tc>
      </w:tr>
      <w:tr>
        <w:trPr>
          <w:trHeight w:val="159"/>
        </w:trPr>
        <w:tc>
          <w:tcPr>
            <w:tcW w:w="232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4"/>
                <w:szCs w:val="14"/>
                <w:color w:val="auto"/>
              </w:rPr>
              <w:t>Other comprehensive loss</w:t>
            </w:r>
          </w:p>
        </w:tc>
        <w:tc>
          <w:tcPr>
            <w:tcW w:w="840" w:type="dxa"/>
            <w:vAlign w:val="bottom"/>
            <w:shd w:val="clear" w:color="auto" w:fill="CCEEFF"/>
          </w:tcPr>
          <w:p>
            <w:pPr>
              <w:ind w:left="4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center"/>
              <w:ind w:left="3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89"/>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shd w:val="clear" w:color="auto" w:fill="CCEEFF"/>
          </w:tcPr>
          <w:p>
            <w:pPr>
              <w:jc w:val="center"/>
              <w:ind w:left="33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center"/>
              <w:ind w:left="11"/>
              <w:spacing w:after="0" w:line="159" w:lineRule="exact"/>
              <w:rPr>
                <w:sz w:val="20"/>
                <w:szCs w:val="20"/>
                <w:color w:val="auto"/>
              </w:rPr>
            </w:pPr>
            <w:r>
              <w:rPr>
                <w:rFonts w:ascii="Times New Roman" w:cs="Times New Roman" w:eastAsia="Times New Roman" w:hAnsi="Times New Roman"/>
                <w:sz w:val="14"/>
                <w:szCs w:val="14"/>
                <w:color w:val="auto"/>
              </w:rPr>
              <w:t>(8,974)</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center"/>
              <w:ind w:left="5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(8,974)</w:t>
            </w:r>
          </w:p>
        </w:tc>
        <w:tc>
          <w:tcPr>
            <w:tcW w:w="0" w:type="dxa"/>
            <w:vAlign w:val="bottom"/>
          </w:tcPr>
          <w:p>
            <w:pPr>
              <w:spacing w:after="0"/>
              <w:rPr>
                <w:sz w:val="1"/>
                <w:szCs w:val="1"/>
                <w:color w:val="auto"/>
              </w:rPr>
            </w:pPr>
          </w:p>
        </w:tc>
      </w:tr>
      <w:tr>
        <w:trPr>
          <w:trHeight w:val="159"/>
        </w:trPr>
        <w:tc>
          <w:tcPr>
            <w:tcW w:w="232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color w:val="auto"/>
              </w:rPr>
              <w:t>Conversion of Series B to Series A</w:t>
            </w:r>
          </w:p>
        </w:tc>
        <w:tc>
          <w:tcPr>
            <w:tcW w:w="840" w:type="dxa"/>
            <w:vAlign w:val="bottom"/>
          </w:tcPr>
          <w:p>
            <w:pPr>
              <w:jc w:val="center"/>
              <w:ind w:left="31"/>
              <w:spacing w:after="0" w:line="159" w:lineRule="exact"/>
              <w:rPr>
                <w:sz w:val="20"/>
                <w:szCs w:val="20"/>
                <w:color w:val="auto"/>
              </w:rPr>
            </w:pPr>
            <w:r>
              <w:rPr>
                <w:rFonts w:ascii="Times New Roman" w:cs="Times New Roman" w:eastAsia="Times New Roman" w:hAnsi="Times New Roman"/>
                <w:sz w:val="14"/>
                <w:szCs w:val="14"/>
                <w:color w:val="auto"/>
              </w:rPr>
              <w:t>192</w:t>
            </w:r>
          </w:p>
        </w:tc>
        <w:tc>
          <w:tcPr>
            <w:tcW w:w="1000" w:type="dxa"/>
            <w:vAlign w:val="bottom"/>
          </w:tcPr>
          <w:p>
            <w:pPr>
              <w:jc w:val="center"/>
              <w:ind w:left="31"/>
              <w:spacing w:after="0" w:line="159" w:lineRule="exact"/>
              <w:rPr>
                <w:sz w:val="20"/>
                <w:szCs w:val="20"/>
                <w:color w:val="auto"/>
              </w:rPr>
            </w:pPr>
            <w:r>
              <w:rPr>
                <w:rFonts w:ascii="Times New Roman" w:cs="Times New Roman" w:eastAsia="Times New Roman" w:hAnsi="Times New Roman"/>
                <w:sz w:val="14"/>
                <w:szCs w:val="14"/>
                <w:color w:val="auto"/>
                <w:w w:val="98"/>
              </w:rPr>
              <w:t>(192)</w:t>
            </w:r>
          </w:p>
        </w:tc>
        <w:tc>
          <w:tcPr>
            <w:tcW w:w="340" w:type="dxa"/>
            <w:vAlign w:val="bottom"/>
          </w:tcPr>
          <w:p>
            <w:pPr>
              <w:spacing w:after="0"/>
              <w:rPr>
                <w:sz w:val="13"/>
                <w:szCs w:val="13"/>
                <w:color w:val="auto"/>
              </w:rPr>
            </w:pPr>
          </w:p>
        </w:tc>
        <w:tc>
          <w:tcPr>
            <w:tcW w:w="460" w:type="dxa"/>
            <w:vAlign w:val="bottom"/>
          </w:tcPr>
          <w:p>
            <w:pPr>
              <w:jc w:val="right"/>
              <w:ind w:right="89"/>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10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tcPr>
          <w:p>
            <w:pPr>
              <w:jc w:val="center"/>
              <w:ind w:left="33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3"/>
                <w:szCs w:val="13"/>
                <w:color w:val="auto"/>
              </w:rPr>
            </w:pPr>
          </w:p>
        </w:tc>
        <w:tc>
          <w:tcPr>
            <w:tcW w:w="860" w:type="dxa"/>
            <w:vAlign w:val="bottom"/>
          </w:tcPr>
          <w:p>
            <w:pPr>
              <w:jc w:val="center"/>
              <w:ind w:left="1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3"/>
                <w:szCs w:val="13"/>
                <w:color w:val="auto"/>
              </w:rPr>
            </w:pPr>
          </w:p>
        </w:tc>
        <w:tc>
          <w:tcPr>
            <w:tcW w:w="900" w:type="dxa"/>
            <w:vAlign w:val="bottom"/>
          </w:tcPr>
          <w:p>
            <w:pPr>
              <w:jc w:val="center"/>
              <w:ind w:left="5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Pr>
          <w:p>
            <w:pPr>
              <w:spacing w:after="0"/>
              <w:rPr>
                <w:sz w:val="13"/>
                <w:szCs w:val="13"/>
                <w:color w:val="auto"/>
              </w:rPr>
            </w:pPr>
          </w:p>
        </w:tc>
        <w:tc>
          <w:tcPr>
            <w:tcW w:w="7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9"/>
        </w:trPr>
        <w:tc>
          <w:tcPr>
            <w:tcW w:w="2320" w:type="dxa"/>
            <w:vAlign w:val="bottom"/>
            <w:tcBorders>
              <w:bottom w:val="single" w:sz="8" w:color="CCEEFF"/>
            </w:tcBorders>
            <w:shd w:val="clear" w:color="auto" w:fill="CCEEFF"/>
          </w:tcPr>
          <w:p>
            <w:pPr>
              <w:ind w:left="100"/>
              <w:spacing w:after="0" w:line="159" w:lineRule="exact"/>
              <w:rPr>
                <w:sz w:val="20"/>
                <w:szCs w:val="20"/>
                <w:color w:val="auto"/>
              </w:rPr>
            </w:pPr>
            <w:r>
              <w:rPr>
                <w:rFonts w:ascii="Times New Roman" w:cs="Times New Roman" w:eastAsia="Times New Roman" w:hAnsi="Times New Roman"/>
                <w:sz w:val="14"/>
                <w:szCs w:val="14"/>
                <w:color w:val="auto"/>
              </w:rPr>
              <w:t>Dividends declared ($2.14 per share)</w:t>
            </w:r>
          </w:p>
        </w:tc>
        <w:tc>
          <w:tcPr>
            <w:tcW w:w="840" w:type="dxa"/>
            <w:vAlign w:val="bottom"/>
            <w:tcBorders>
              <w:bottom w:val="single" w:sz="8" w:color="auto"/>
            </w:tcBorders>
            <w:shd w:val="clear" w:color="auto" w:fill="CCEEFF"/>
          </w:tcPr>
          <w:p>
            <w:pPr>
              <w:ind w:left="4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center"/>
              <w:ind w:left="3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89"/>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tcBorders>
              <w:bottom w:val="single" w:sz="8" w:color="auto"/>
            </w:tcBorders>
            <w:shd w:val="clear" w:color="auto" w:fill="CCEEFF"/>
          </w:tcPr>
          <w:p>
            <w:pPr>
              <w:jc w:val="center"/>
              <w:ind w:left="33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center"/>
              <w:ind w:left="1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center"/>
              <w:ind w:left="51"/>
              <w:spacing w:after="0" w:line="159" w:lineRule="exact"/>
              <w:rPr>
                <w:sz w:val="20"/>
                <w:szCs w:val="20"/>
                <w:color w:val="auto"/>
              </w:rPr>
            </w:pPr>
            <w:r>
              <w:rPr>
                <w:rFonts w:ascii="Times New Roman" w:cs="Times New Roman" w:eastAsia="Times New Roman" w:hAnsi="Times New Roman"/>
                <w:sz w:val="14"/>
                <w:szCs w:val="14"/>
                <w:color w:val="auto"/>
                <w:w w:val="96"/>
              </w:rPr>
              <w:t>(11,454)</w:t>
            </w:r>
          </w:p>
        </w:tc>
        <w:tc>
          <w:tcPr>
            <w:tcW w:w="2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(11,454)</w:t>
            </w:r>
          </w:p>
        </w:tc>
        <w:tc>
          <w:tcPr>
            <w:tcW w:w="0" w:type="dxa"/>
            <w:vAlign w:val="bottom"/>
          </w:tcPr>
          <w:p>
            <w:pPr>
              <w:spacing w:after="0"/>
              <w:rPr>
                <w:sz w:val="1"/>
                <w:szCs w:val="1"/>
                <w:color w:val="auto"/>
              </w:rPr>
            </w:pPr>
          </w:p>
        </w:tc>
      </w:tr>
      <w:tr>
        <w:trPr>
          <w:trHeight w:val="186"/>
        </w:trPr>
        <w:tc>
          <w:tcPr>
            <w:tcW w:w="2320" w:type="dxa"/>
            <w:vAlign w:val="bottom"/>
            <w:tcBorders>
              <w:bottom w:val="single" w:sz="8" w:color="CCEEFF"/>
            </w:tcBorders>
          </w:tcPr>
          <w:p>
            <w:pPr>
              <w:spacing w:after="0" w:line="145" w:lineRule="exact"/>
              <w:rPr>
                <w:sz w:val="20"/>
                <w:szCs w:val="20"/>
                <w:color w:val="auto"/>
              </w:rPr>
            </w:pPr>
            <w:r>
              <w:rPr>
                <w:rFonts w:ascii="Times New Roman" w:cs="Times New Roman" w:eastAsia="Times New Roman" w:hAnsi="Times New Roman"/>
                <w:sz w:val="14"/>
                <w:szCs w:val="14"/>
                <w:color w:val="auto"/>
              </w:rPr>
              <w:t>Balance at December 31, 2022</w:t>
            </w:r>
          </w:p>
        </w:tc>
        <w:tc>
          <w:tcPr>
            <w:tcW w:w="840" w:type="dxa"/>
            <w:vAlign w:val="bottom"/>
            <w:tcBorders>
              <w:bottom w:val="single" w:sz="8" w:color="auto"/>
            </w:tcBorders>
          </w:tcPr>
          <w:p>
            <w:pPr>
              <w:jc w:val="center"/>
              <w:ind w:left="31"/>
              <w:spacing w:after="0" w:line="145" w:lineRule="exact"/>
              <w:rPr>
                <w:sz w:val="20"/>
                <w:szCs w:val="20"/>
                <w:color w:val="auto"/>
              </w:rPr>
            </w:pPr>
            <w:r>
              <w:rPr>
                <w:rFonts w:ascii="Times New Roman" w:cs="Times New Roman" w:eastAsia="Times New Roman" w:hAnsi="Times New Roman"/>
                <w:sz w:val="14"/>
                <w:szCs w:val="14"/>
                <w:color w:val="auto"/>
              </w:rPr>
              <w:t>5,216,237</w:t>
            </w:r>
          </w:p>
        </w:tc>
        <w:tc>
          <w:tcPr>
            <w:tcW w:w="1000" w:type="dxa"/>
            <w:vAlign w:val="bottom"/>
            <w:tcBorders>
              <w:bottom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614,718</w:t>
            </w:r>
          </w:p>
        </w:tc>
        <w:tc>
          <w:tcPr>
            <w:tcW w:w="340" w:type="dxa"/>
            <w:vAlign w:val="bottom"/>
            <w:tcBorders>
              <w:bottom w:val="single" w:sz="8" w:color="auto"/>
            </w:tcBorders>
          </w:tcPr>
          <w:p>
            <w:pPr>
              <w:jc w:val="right"/>
              <w:ind w:right="92"/>
              <w:spacing w:after="0" w:line="14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ind w:right="109"/>
              <w:spacing w:after="0" w:line="145" w:lineRule="exact"/>
              <w:rPr>
                <w:sz w:val="20"/>
                <w:szCs w:val="20"/>
                <w:color w:val="auto"/>
              </w:rPr>
            </w:pPr>
            <w:r>
              <w:rPr>
                <w:rFonts w:ascii="Times New Roman" w:cs="Times New Roman" w:eastAsia="Times New Roman" w:hAnsi="Times New Roman"/>
                <w:sz w:val="14"/>
                <w:szCs w:val="14"/>
                <w:color w:val="auto"/>
              </w:rPr>
              <w:t>58</w:t>
            </w:r>
          </w:p>
        </w:tc>
        <w:tc>
          <w:tcPr>
            <w:tcW w:w="26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494,563</w:t>
            </w:r>
          </w:p>
        </w:tc>
        <w:tc>
          <w:tcPr>
            <w:tcW w:w="880" w:type="dxa"/>
            <w:vAlign w:val="bottom"/>
            <w:tcBorders>
              <w:bottom w:val="single" w:sz="8" w:color="auto"/>
            </w:tcBorders>
            <w:gridSpan w:val="2"/>
          </w:tcPr>
          <w:p>
            <w:pPr>
              <w:jc w:val="center"/>
              <w:ind w:left="31"/>
              <w:spacing w:after="0" w:line="145" w:lineRule="exact"/>
              <w:rPr>
                <w:sz w:val="20"/>
                <w:szCs w:val="20"/>
                <w:color w:val="auto"/>
              </w:rPr>
            </w:pPr>
            <w:r>
              <w:rPr>
                <w:rFonts w:ascii="Times New Roman" w:cs="Times New Roman" w:eastAsia="Times New Roman" w:hAnsi="Times New Roman"/>
                <w:sz w:val="14"/>
                <w:szCs w:val="14"/>
                <w:color w:val="auto"/>
                <w:w w:val="98"/>
              </w:rPr>
              <w:t>(478,465)</w:t>
            </w:r>
          </w:p>
        </w:tc>
        <w:tc>
          <w:tcPr>
            <w:tcW w:w="26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(13,443)</w:t>
            </w:r>
          </w:p>
        </w:tc>
        <w:tc>
          <w:tcPr>
            <w:tcW w:w="12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center"/>
              <w:ind w:left="31"/>
              <w:spacing w:after="0" w:line="145" w:lineRule="exact"/>
              <w:rPr>
                <w:sz w:val="20"/>
                <w:szCs w:val="20"/>
                <w:color w:val="auto"/>
              </w:rPr>
            </w:pPr>
            <w:r>
              <w:rPr>
                <w:rFonts w:ascii="Times New Roman" w:cs="Times New Roman" w:eastAsia="Times New Roman" w:hAnsi="Times New Roman"/>
                <w:sz w:val="14"/>
                <w:szCs w:val="14"/>
                <w:color w:val="auto"/>
              </w:rPr>
              <w:t>(41,380)</w:t>
            </w:r>
          </w:p>
        </w:tc>
        <w:tc>
          <w:tcPr>
            <w:tcW w:w="18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center"/>
              <w:ind w:left="51"/>
              <w:spacing w:after="0" w:line="145" w:lineRule="exact"/>
              <w:rPr>
                <w:sz w:val="20"/>
                <w:szCs w:val="20"/>
                <w:color w:val="auto"/>
              </w:rPr>
            </w:pPr>
            <w:r>
              <w:rPr>
                <w:rFonts w:ascii="Times New Roman" w:cs="Times New Roman" w:eastAsia="Times New Roman" w:hAnsi="Times New Roman"/>
                <w:sz w:val="14"/>
                <w:szCs w:val="14"/>
                <w:color w:val="auto"/>
                <w:w w:val="98"/>
              </w:rPr>
              <w:t>(427,435)</w:t>
            </w:r>
          </w:p>
        </w:tc>
        <w:tc>
          <w:tcPr>
            <w:tcW w:w="280" w:type="dxa"/>
            <w:vAlign w:val="bottom"/>
            <w:tcBorders>
              <w:bottom w:val="single" w:sz="8" w:color="auto"/>
            </w:tcBorders>
          </w:tcPr>
          <w:p>
            <w:pPr>
              <w:jc w:val="right"/>
              <w:ind w:right="29"/>
              <w:spacing w:after="0" w:line="14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12,363</w:t>
            </w:r>
          </w:p>
        </w:tc>
        <w:tc>
          <w:tcPr>
            <w:tcW w:w="0" w:type="dxa"/>
            <w:vAlign w:val="bottom"/>
          </w:tcPr>
          <w:p>
            <w:pPr>
              <w:spacing w:after="0"/>
              <w:rPr>
                <w:sz w:val="1"/>
                <w:szCs w:val="1"/>
                <w:color w:val="auto"/>
              </w:rPr>
            </w:pPr>
          </w:p>
        </w:tc>
      </w:tr>
      <w:tr>
        <w:trPr>
          <w:trHeight w:val="139"/>
        </w:trPr>
        <w:tc>
          <w:tcPr>
            <w:tcW w:w="2320" w:type="dxa"/>
            <w:vAlign w:val="bottom"/>
            <w:shd w:val="clear" w:color="auto" w:fill="CCEEFF"/>
          </w:tcPr>
          <w:p>
            <w:pPr>
              <w:ind w:left="100"/>
              <w:spacing w:after="0" w:line="139" w:lineRule="exact"/>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CCEEFF"/>
          </w:tcPr>
          <w:p>
            <w:pPr>
              <w:ind w:left="4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center"/>
              <w:ind w:left="31"/>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89"/>
              <w:spacing w:after="0" w:line="13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shd w:val="clear" w:color="auto" w:fill="CCEEFF"/>
          </w:tcPr>
          <w:p>
            <w:pPr>
              <w:jc w:val="center"/>
              <w:ind w:left="331"/>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left="11"/>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center"/>
              <w:ind w:left="51"/>
              <w:spacing w:after="0" w:line="139" w:lineRule="exact"/>
              <w:rPr>
                <w:sz w:val="20"/>
                <w:szCs w:val="20"/>
                <w:color w:val="auto"/>
              </w:rPr>
            </w:pPr>
            <w:r>
              <w:rPr>
                <w:rFonts w:ascii="Times New Roman" w:cs="Times New Roman" w:eastAsia="Times New Roman" w:hAnsi="Times New Roman"/>
                <w:sz w:val="14"/>
                <w:szCs w:val="14"/>
                <w:color w:val="auto"/>
              </w:rPr>
              <w:t>(7,112)</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w w:val="97"/>
              </w:rPr>
              <w:t>(7,112)</w:t>
            </w:r>
          </w:p>
        </w:tc>
        <w:tc>
          <w:tcPr>
            <w:tcW w:w="0" w:type="dxa"/>
            <w:vAlign w:val="bottom"/>
          </w:tcPr>
          <w:p>
            <w:pPr>
              <w:spacing w:after="0"/>
              <w:rPr>
                <w:sz w:val="1"/>
                <w:szCs w:val="1"/>
                <w:color w:val="auto"/>
              </w:rPr>
            </w:pPr>
          </w:p>
        </w:tc>
      </w:tr>
      <w:tr>
        <w:trPr>
          <w:trHeight w:val="159"/>
        </w:trPr>
        <w:tc>
          <w:tcPr>
            <w:tcW w:w="232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40" w:type="dxa"/>
            <w:vAlign w:val="bottom"/>
          </w:tcPr>
          <w:p>
            <w:pPr>
              <w:ind w:left="4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ind w:left="3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3"/>
                <w:szCs w:val="13"/>
                <w:color w:val="auto"/>
              </w:rPr>
            </w:pPr>
          </w:p>
        </w:tc>
        <w:tc>
          <w:tcPr>
            <w:tcW w:w="460" w:type="dxa"/>
            <w:vAlign w:val="bottom"/>
          </w:tcPr>
          <w:p>
            <w:pPr>
              <w:jc w:val="right"/>
              <w:ind w:right="89"/>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10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tcPr>
          <w:p>
            <w:pPr>
              <w:jc w:val="center"/>
              <w:ind w:left="33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3"/>
                <w:szCs w:val="13"/>
                <w:color w:val="auto"/>
              </w:rPr>
            </w:pPr>
          </w:p>
        </w:tc>
        <w:tc>
          <w:tcPr>
            <w:tcW w:w="860" w:type="dxa"/>
            <w:vAlign w:val="bottom"/>
          </w:tcPr>
          <w:p>
            <w:pPr>
              <w:jc w:val="right"/>
              <w:ind w:right="171"/>
              <w:spacing w:after="0" w:line="159" w:lineRule="exact"/>
              <w:rPr>
                <w:sz w:val="20"/>
                <w:szCs w:val="20"/>
                <w:color w:val="auto"/>
              </w:rPr>
            </w:pPr>
            <w:r>
              <w:rPr>
                <w:rFonts w:ascii="Times New Roman" w:cs="Times New Roman" w:eastAsia="Times New Roman" w:hAnsi="Times New Roman"/>
                <w:sz w:val="14"/>
                <w:szCs w:val="14"/>
                <w:color w:val="auto"/>
              </w:rPr>
              <w:t>1,133</w:t>
            </w:r>
          </w:p>
        </w:tc>
        <w:tc>
          <w:tcPr>
            <w:tcW w:w="180" w:type="dxa"/>
            <w:vAlign w:val="bottom"/>
          </w:tcPr>
          <w:p>
            <w:pPr>
              <w:spacing w:after="0"/>
              <w:rPr>
                <w:sz w:val="13"/>
                <w:szCs w:val="13"/>
                <w:color w:val="auto"/>
              </w:rPr>
            </w:pPr>
          </w:p>
        </w:tc>
        <w:tc>
          <w:tcPr>
            <w:tcW w:w="900" w:type="dxa"/>
            <w:vAlign w:val="bottom"/>
          </w:tcPr>
          <w:p>
            <w:pPr>
              <w:jc w:val="center"/>
              <w:ind w:left="5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Pr>
          <w:p>
            <w:pPr>
              <w:spacing w:after="0"/>
              <w:rPr>
                <w:sz w:val="13"/>
                <w:szCs w:val="13"/>
                <w:color w:val="auto"/>
              </w:rPr>
            </w:pPr>
          </w:p>
        </w:tc>
        <w:tc>
          <w:tcPr>
            <w:tcW w:w="7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1,133</w:t>
            </w:r>
          </w:p>
        </w:tc>
        <w:tc>
          <w:tcPr>
            <w:tcW w:w="0" w:type="dxa"/>
            <w:vAlign w:val="bottom"/>
          </w:tcPr>
          <w:p>
            <w:pPr>
              <w:spacing w:after="0"/>
              <w:rPr>
                <w:sz w:val="1"/>
                <w:szCs w:val="1"/>
                <w:color w:val="auto"/>
              </w:rPr>
            </w:pPr>
          </w:p>
        </w:tc>
      </w:tr>
      <w:tr>
        <w:trPr>
          <w:trHeight w:val="159"/>
        </w:trPr>
        <w:tc>
          <w:tcPr>
            <w:tcW w:w="232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4"/>
                <w:szCs w:val="14"/>
                <w:color w:val="auto"/>
              </w:rPr>
              <w:t>Conversion of Series B to Series A</w:t>
            </w:r>
          </w:p>
        </w:tc>
        <w:tc>
          <w:tcPr>
            <w:tcW w:w="840" w:type="dxa"/>
            <w:vAlign w:val="bottom"/>
            <w:shd w:val="clear" w:color="auto" w:fill="CCEEFF"/>
          </w:tcPr>
          <w:p>
            <w:pPr>
              <w:jc w:val="center"/>
              <w:ind w:left="31"/>
              <w:spacing w:after="0" w:line="159" w:lineRule="exact"/>
              <w:rPr>
                <w:sz w:val="20"/>
                <w:szCs w:val="20"/>
                <w:color w:val="auto"/>
              </w:rPr>
            </w:pPr>
            <w:r>
              <w:rPr>
                <w:rFonts w:ascii="Times New Roman" w:cs="Times New Roman" w:eastAsia="Times New Roman" w:hAnsi="Times New Roman"/>
                <w:sz w:val="14"/>
                <w:szCs w:val="14"/>
                <w:color w:val="auto"/>
                <w:w w:val="99"/>
              </w:rPr>
              <w:t>80</w:t>
            </w:r>
          </w:p>
        </w:tc>
        <w:tc>
          <w:tcPr>
            <w:tcW w:w="1000" w:type="dxa"/>
            <w:vAlign w:val="bottom"/>
            <w:shd w:val="clear" w:color="auto" w:fill="CCEEFF"/>
          </w:tcPr>
          <w:p>
            <w:pPr>
              <w:jc w:val="center"/>
              <w:ind w:left="51"/>
              <w:spacing w:after="0" w:line="159" w:lineRule="exact"/>
              <w:rPr>
                <w:sz w:val="20"/>
                <w:szCs w:val="20"/>
                <w:color w:val="auto"/>
              </w:rPr>
            </w:pPr>
            <w:r>
              <w:rPr>
                <w:rFonts w:ascii="Times New Roman" w:cs="Times New Roman" w:eastAsia="Times New Roman" w:hAnsi="Times New Roman"/>
                <w:sz w:val="14"/>
                <w:szCs w:val="14"/>
                <w:color w:val="auto"/>
              </w:rPr>
              <w:t>(80)</w:t>
            </w: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89"/>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shd w:val="clear" w:color="auto" w:fill="CCEEFF"/>
          </w:tcPr>
          <w:p>
            <w:pPr>
              <w:jc w:val="center"/>
              <w:ind w:left="33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center"/>
              <w:ind w:left="1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center"/>
              <w:ind w:left="5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6"/>
        </w:trPr>
        <w:tc>
          <w:tcPr>
            <w:tcW w:w="2320" w:type="dxa"/>
            <w:vAlign w:val="bottom"/>
            <w:tcBorders>
              <w:bottom w:val="single" w:sz="8" w:color="CCEEFF"/>
            </w:tcBorders>
          </w:tcPr>
          <w:p>
            <w:pPr>
              <w:ind w:left="100"/>
              <w:spacing w:after="0" w:line="159" w:lineRule="exact"/>
              <w:rPr>
                <w:sz w:val="20"/>
                <w:szCs w:val="20"/>
                <w:color w:val="auto"/>
              </w:rPr>
            </w:pPr>
            <w:r>
              <w:rPr>
                <w:rFonts w:ascii="Times New Roman" w:cs="Times New Roman" w:eastAsia="Times New Roman" w:hAnsi="Times New Roman"/>
                <w:sz w:val="14"/>
                <w:szCs w:val="14"/>
                <w:color w:val="auto"/>
              </w:rPr>
              <w:t>Dividends declared ($0.64 per share)</w:t>
            </w:r>
          </w:p>
        </w:tc>
        <w:tc>
          <w:tcPr>
            <w:tcW w:w="840" w:type="dxa"/>
            <w:vAlign w:val="bottom"/>
            <w:tcBorders>
              <w:bottom w:val="single" w:sz="8" w:color="auto"/>
            </w:tcBorders>
          </w:tcPr>
          <w:p>
            <w:pPr>
              <w:ind w:left="4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center"/>
              <w:ind w:left="3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9"/>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tcBorders>
              <w:bottom w:val="single" w:sz="8" w:color="auto"/>
            </w:tcBorders>
          </w:tcPr>
          <w:p>
            <w:pPr>
              <w:jc w:val="center"/>
              <w:ind w:left="33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left="11"/>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left="51"/>
              <w:spacing w:after="0" w:line="159" w:lineRule="exact"/>
              <w:rPr>
                <w:sz w:val="20"/>
                <w:szCs w:val="20"/>
                <w:color w:val="auto"/>
              </w:rPr>
            </w:pPr>
            <w:r>
              <w:rPr>
                <w:rFonts w:ascii="Times New Roman" w:cs="Times New Roman" w:eastAsia="Times New Roman" w:hAnsi="Times New Roman"/>
                <w:sz w:val="14"/>
                <w:szCs w:val="14"/>
                <w:color w:val="auto"/>
              </w:rPr>
              <w:t>(3,426)</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(3,426)</w:t>
            </w:r>
          </w:p>
        </w:tc>
        <w:tc>
          <w:tcPr>
            <w:tcW w:w="0" w:type="dxa"/>
            <w:vAlign w:val="bottom"/>
          </w:tcPr>
          <w:p>
            <w:pPr>
              <w:spacing w:after="0"/>
              <w:rPr>
                <w:sz w:val="1"/>
                <w:szCs w:val="1"/>
                <w:color w:val="auto"/>
              </w:rPr>
            </w:pPr>
          </w:p>
        </w:tc>
      </w:tr>
      <w:tr>
        <w:trPr>
          <w:trHeight w:val="159"/>
        </w:trPr>
        <w:tc>
          <w:tcPr>
            <w:tcW w:w="2320" w:type="dxa"/>
            <w:vAlign w:val="bottom"/>
            <w:tcBorders>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at December 31, 2023</w:t>
            </w:r>
          </w:p>
        </w:tc>
        <w:tc>
          <w:tcPr>
            <w:tcW w:w="840" w:type="dxa"/>
            <w:vAlign w:val="bottom"/>
            <w:tcBorders>
              <w:bottom w:val="single" w:sz="8" w:color="auto"/>
            </w:tcBorders>
            <w:shd w:val="clear" w:color="auto" w:fill="CCEEFF"/>
          </w:tcPr>
          <w:p>
            <w:pPr>
              <w:jc w:val="center"/>
              <w:ind w:left="31"/>
              <w:spacing w:after="0" w:line="159" w:lineRule="exact"/>
              <w:rPr>
                <w:sz w:val="20"/>
                <w:szCs w:val="20"/>
                <w:color w:val="auto"/>
              </w:rPr>
            </w:pPr>
            <w:r>
              <w:rPr>
                <w:rFonts w:ascii="Times New Roman" w:cs="Times New Roman" w:eastAsia="Times New Roman" w:hAnsi="Times New Roman"/>
                <w:sz w:val="14"/>
                <w:szCs w:val="14"/>
                <w:color w:val="auto"/>
              </w:rPr>
              <w:t>5,216,317</w:t>
            </w:r>
          </w:p>
        </w:tc>
        <w:tc>
          <w:tcPr>
            <w:tcW w:w="1000" w:type="dxa"/>
            <w:vAlign w:val="bottom"/>
            <w:tcBorders>
              <w:bottom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614,638</w:t>
            </w:r>
          </w:p>
        </w:tc>
        <w:tc>
          <w:tcPr>
            <w:tcW w:w="340" w:type="dxa"/>
            <w:vAlign w:val="bottom"/>
            <w:tcBorders>
              <w:bottom w:val="single" w:sz="8" w:color="auto"/>
            </w:tcBorders>
            <w:shd w:val="clear" w:color="auto" w:fill="CCEEFF"/>
          </w:tcPr>
          <w:p>
            <w:pPr>
              <w:jc w:val="right"/>
              <w:ind w:right="92"/>
              <w:spacing w:after="0" w:line="15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ind w:right="109"/>
              <w:spacing w:after="0" w:line="159" w:lineRule="exact"/>
              <w:rPr>
                <w:sz w:val="20"/>
                <w:szCs w:val="20"/>
                <w:color w:val="auto"/>
              </w:rPr>
            </w:pPr>
            <w:r>
              <w:rPr>
                <w:rFonts w:ascii="Times New Roman" w:cs="Times New Roman" w:eastAsia="Times New Roman" w:hAnsi="Times New Roman"/>
                <w:sz w:val="14"/>
                <w:szCs w:val="14"/>
                <w:color w:val="auto"/>
              </w:rPr>
              <w:t>58</w:t>
            </w:r>
          </w:p>
        </w:tc>
        <w:tc>
          <w:tcPr>
            <w:tcW w:w="26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494,563</w:t>
            </w:r>
          </w:p>
        </w:tc>
        <w:tc>
          <w:tcPr>
            <w:tcW w:w="880" w:type="dxa"/>
            <w:vAlign w:val="bottom"/>
            <w:tcBorders>
              <w:bottom w:val="single" w:sz="8" w:color="auto"/>
            </w:tcBorders>
            <w:gridSpan w:val="2"/>
            <w:shd w:val="clear" w:color="auto" w:fill="CCEEFF"/>
          </w:tcPr>
          <w:p>
            <w:pPr>
              <w:jc w:val="center"/>
              <w:ind w:left="31"/>
              <w:spacing w:after="0" w:line="159" w:lineRule="exact"/>
              <w:rPr>
                <w:sz w:val="20"/>
                <w:szCs w:val="20"/>
                <w:color w:val="auto"/>
              </w:rPr>
            </w:pPr>
            <w:r>
              <w:rPr>
                <w:rFonts w:ascii="Times New Roman" w:cs="Times New Roman" w:eastAsia="Times New Roman" w:hAnsi="Times New Roman"/>
                <w:sz w:val="14"/>
                <w:szCs w:val="14"/>
                <w:color w:val="auto"/>
                <w:w w:val="98"/>
              </w:rPr>
              <w:t>(478,465)</w:t>
            </w:r>
          </w:p>
        </w:tc>
        <w:tc>
          <w:tcPr>
            <w:tcW w:w="26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(13,443)</w:t>
            </w:r>
          </w:p>
        </w:tc>
        <w:tc>
          <w:tcPr>
            <w:tcW w:w="12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center"/>
              <w:ind w:left="31"/>
              <w:spacing w:after="0" w:line="159" w:lineRule="exact"/>
              <w:rPr>
                <w:sz w:val="20"/>
                <w:szCs w:val="20"/>
                <w:color w:val="auto"/>
              </w:rPr>
            </w:pPr>
            <w:r>
              <w:rPr>
                <w:rFonts w:ascii="Times New Roman" w:cs="Times New Roman" w:eastAsia="Times New Roman" w:hAnsi="Times New Roman"/>
                <w:sz w:val="14"/>
                <w:szCs w:val="14"/>
                <w:color w:val="auto"/>
              </w:rPr>
              <w:t>(40,247)</w:t>
            </w:r>
          </w:p>
        </w:tc>
        <w:tc>
          <w:tcPr>
            <w:tcW w:w="18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center"/>
              <w:ind w:left="51"/>
              <w:spacing w:after="0" w:line="159" w:lineRule="exact"/>
              <w:rPr>
                <w:sz w:val="20"/>
                <w:szCs w:val="20"/>
                <w:color w:val="auto"/>
              </w:rPr>
            </w:pPr>
            <w:r>
              <w:rPr>
                <w:rFonts w:ascii="Times New Roman" w:cs="Times New Roman" w:eastAsia="Times New Roman" w:hAnsi="Times New Roman"/>
                <w:sz w:val="14"/>
                <w:szCs w:val="14"/>
                <w:color w:val="auto"/>
                <w:w w:val="98"/>
              </w:rPr>
              <w:t>(437,973)</w:t>
            </w:r>
          </w:p>
        </w:tc>
        <w:tc>
          <w:tcPr>
            <w:tcW w:w="280" w:type="dxa"/>
            <w:vAlign w:val="bottom"/>
            <w:tcBorders>
              <w:bottom w:val="single" w:sz="8" w:color="auto"/>
            </w:tcBorders>
            <w:shd w:val="clear" w:color="auto" w:fill="CCEEFF"/>
          </w:tcPr>
          <w:p>
            <w:pPr>
              <w:jc w:val="right"/>
              <w:ind w:right="29"/>
              <w:spacing w:after="0" w:line="15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2,958</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accompanying Notes to the Consolidated Financial Statements.</w:t>
      </w:r>
    </w:p>
    <w:p>
      <w:pPr>
        <w:spacing w:after="0" w:line="200" w:lineRule="exact"/>
        <w:rPr>
          <w:sz w:val="20"/>
          <w:szCs w:val="20"/>
          <w:color w:val="auto"/>
        </w:rPr>
      </w:pPr>
    </w:p>
    <w:p>
      <w:pPr>
        <w:spacing w:after="0" w:line="295" w:lineRule="exact"/>
        <w:rPr>
          <w:sz w:val="20"/>
          <w:szCs w:val="20"/>
          <w:color w:val="auto"/>
        </w:rPr>
      </w:pPr>
    </w:p>
    <w:p>
      <w:pPr>
        <w:jc w:val="right"/>
        <w:spacing w:after="0"/>
        <w:tabs>
          <w:tab w:leader="none" w:pos="6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DallasNews Corporation and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2660" w:type="dxa"/>
            <w:vAlign w:val="bottom"/>
            <w:tcBorders>
              <w:top w:val="single" w:sz="8" w:color="auto"/>
              <w:bottom w:val="single" w:sz="8" w:color="auto"/>
            </w:tcBorders>
            <w:gridSpan w:val="5"/>
          </w:tcPr>
          <w:p>
            <w:pPr>
              <w:jc w:val="right"/>
              <w:ind w:right="632"/>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840" w:type="dxa"/>
            <w:vAlign w:val="bottom"/>
            <w:tcBorders>
              <w:bottom w:val="single" w:sz="8" w:color="auto"/>
            </w:tcBorders>
            <w:vMerge w:val="continue"/>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3"/>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2"/>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8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Net loss</w:t>
            </w:r>
          </w:p>
        </w:tc>
        <w:tc>
          <w:tcPr>
            <w:tcW w:w="1740" w:type="dxa"/>
            <w:vAlign w:val="bottom"/>
            <w:gridSpan w:val="2"/>
          </w:tcPr>
          <w:p>
            <w:pPr>
              <w:jc w:val="right"/>
              <w:ind w:right="152"/>
              <w:spacing w:after="0" w:line="18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line="186" w:lineRule="exact"/>
              <w:rPr>
                <w:sz w:val="20"/>
                <w:szCs w:val="20"/>
                <w:color w:val="auto"/>
              </w:rPr>
            </w:pPr>
            <w:r>
              <w:rPr>
                <w:rFonts w:ascii="Times New Roman" w:cs="Times New Roman" w:eastAsia="Times New Roman" w:hAnsi="Times New Roman"/>
                <w:sz w:val="18"/>
                <w:szCs w:val="18"/>
                <w:color w:val="auto"/>
              </w:rPr>
              <w:t>(7,112)</w:t>
            </w:r>
          </w:p>
        </w:tc>
        <w:tc>
          <w:tcPr>
            <w:tcW w:w="420" w:type="dxa"/>
            <w:vAlign w:val="bottom"/>
            <w:gridSpan w:val="2"/>
          </w:tcPr>
          <w:p>
            <w:pPr>
              <w:jc w:val="right"/>
              <w:ind w:right="152"/>
              <w:spacing w:after="0" w:line="18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(9,786)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4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Adjustments to reconcile net loss to net cash used for operating activities:</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320"/>
              <w:spacing w:after="0" w:line="186" w:lineRule="exact"/>
              <w:rPr>
                <w:sz w:val="20"/>
                <w:szCs w:val="20"/>
                <w:color w:val="auto"/>
              </w:rPr>
            </w:pPr>
            <w:r>
              <w:rPr>
                <w:rFonts w:ascii="Times New Roman" w:cs="Times New Roman" w:eastAsia="Times New Roman" w:hAnsi="Times New Roman"/>
                <w:sz w:val="18"/>
                <w:szCs w:val="18"/>
                <w:color w:val="auto"/>
              </w:rPr>
              <w:t>Depreciation</w:t>
            </w: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1,520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2,709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40" w:type="dxa"/>
            <w:vAlign w:val="bottom"/>
            <w:shd w:val="clear" w:color="auto" w:fill="CCEEFF"/>
          </w:tcPr>
          <w:p>
            <w:pPr>
              <w:ind w:left="320"/>
              <w:spacing w:after="0" w:line="186" w:lineRule="exact"/>
              <w:rPr>
                <w:sz w:val="20"/>
                <w:szCs w:val="20"/>
                <w:color w:val="auto"/>
              </w:rPr>
            </w:pPr>
            <w:r>
              <w:rPr>
                <w:rFonts w:ascii="Times New Roman" w:cs="Times New Roman" w:eastAsia="Times New Roman" w:hAnsi="Times New Roman"/>
                <w:sz w:val="18"/>
                <w:szCs w:val="18"/>
                <w:color w:val="auto"/>
              </w:rPr>
              <w:t>Net periodic costs and contributions related to employee benefit plans</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6" w:lineRule="exact"/>
              <w:rPr>
                <w:sz w:val="20"/>
                <w:szCs w:val="20"/>
                <w:color w:val="auto"/>
              </w:rPr>
            </w:pPr>
            <w:r>
              <w:rPr>
                <w:rFonts w:ascii="Times New Roman" w:cs="Times New Roman" w:eastAsia="Times New Roman" w:hAnsi="Times New Roman"/>
                <w:sz w:val="18"/>
                <w:szCs w:val="18"/>
                <w:color w:val="auto"/>
              </w:rPr>
              <w:t>(899)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(4,090)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320"/>
              <w:spacing w:after="0" w:line="186" w:lineRule="exact"/>
              <w:rPr>
                <w:sz w:val="20"/>
                <w:szCs w:val="20"/>
                <w:color w:val="auto"/>
              </w:rPr>
            </w:pPr>
            <w:r>
              <w:rPr>
                <w:rFonts w:ascii="Times New Roman" w:cs="Times New Roman" w:eastAsia="Times New Roman" w:hAnsi="Times New Roman"/>
                <w:sz w:val="18"/>
                <w:szCs w:val="18"/>
                <w:color w:val="auto"/>
              </w:rPr>
              <w:t>Bad debt expense (benefit)</w:t>
            </w: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tcPr>
          <w:p>
            <w:pPr>
              <w:jc w:val="right"/>
              <w:ind w:right="80"/>
              <w:spacing w:after="0" w:line="186" w:lineRule="exact"/>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shd w:val="clear" w:color="auto" w:fill="CCEEFF"/>
          </w:tcPr>
          <w:p>
            <w:pPr>
              <w:ind w:left="320"/>
              <w:spacing w:after="0" w:line="186" w:lineRule="exact"/>
              <w:rPr>
                <w:sz w:val="20"/>
                <w:szCs w:val="20"/>
                <w:color w:val="auto"/>
              </w:rPr>
            </w:pPr>
            <w:r>
              <w:rPr>
                <w:rFonts w:ascii="Times New Roman" w:cs="Times New Roman" w:eastAsia="Times New Roman" w:hAnsi="Times New Roman"/>
                <w:sz w:val="18"/>
                <w:szCs w:val="18"/>
                <w:color w:val="auto"/>
              </w:rPr>
              <w:t>Deferred income taxes</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40" w:type="dxa"/>
            <w:vAlign w:val="bottom"/>
          </w:tcPr>
          <w:p>
            <w:pPr>
              <w:ind w:left="320"/>
              <w:spacing w:after="0" w:line="186" w:lineRule="exact"/>
              <w:rPr>
                <w:sz w:val="20"/>
                <w:szCs w:val="20"/>
                <w:color w:val="auto"/>
              </w:rPr>
            </w:pPr>
            <w:r>
              <w:rPr>
                <w:rFonts w:ascii="Times New Roman" w:cs="Times New Roman" w:eastAsia="Times New Roman" w:hAnsi="Times New Roman"/>
                <w:sz w:val="18"/>
                <w:szCs w:val="18"/>
                <w:color w:val="auto"/>
              </w:rPr>
              <w:t>Gain on short-term investments</w:t>
            </w: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tcPr>
          <w:p>
            <w:pPr>
              <w:jc w:val="right"/>
              <w:ind w:right="80"/>
              <w:spacing w:after="0" w:line="186" w:lineRule="exact"/>
              <w:rPr>
                <w:sz w:val="20"/>
                <w:szCs w:val="20"/>
                <w:color w:val="auto"/>
              </w:rPr>
            </w:pPr>
            <w:r>
              <w:rPr>
                <w:rFonts w:ascii="Times New Roman" w:cs="Times New Roman" w:eastAsia="Times New Roman" w:hAnsi="Times New Roman"/>
                <w:sz w:val="18"/>
                <w:szCs w:val="18"/>
                <w:color w:val="auto"/>
              </w:rPr>
              <w:t>(401)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shd w:val="clear" w:color="auto" w:fill="CCEEFF"/>
          </w:tcPr>
          <w:p>
            <w:pPr>
              <w:ind w:left="320"/>
              <w:spacing w:after="0" w:line="186" w:lineRule="exact"/>
              <w:rPr>
                <w:sz w:val="20"/>
                <w:szCs w:val="20"/>
                <w:color w:val="auto"/>
              </w:rPr>
            </w:pPr>
            <w:r>
              <w:rPr>
                <w:rFonts w:ascii="Times New Roman" w:cs="Times New Roman" w:eastAsia="Times New Roman" w:hAnsi="Times New Roman"/>
                <w:sz w:val="18"/>
                <w:szCs w:val="18"/>
                <w:color w:val="auto"/>
              </w:rPr>
              <w:t>Provision, interest and penalties for uncertain tax positions</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6"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40" w:type="dxa"/>
            <w:vAlign w:val="bottom"/>
          </w:tcPr>
          <w:p>
            <w:pPr>
              <w:ind w:left="320"/>
              <w:spacing w:after="0" w:line="186" w:lineRule="exact"/>
              <w:rPr>
                <w:sz w:val="20"/>
                <w:szCs w:val="20"/>
                <w:color w:val="auto"/>
              </w:rPr>
            </w:pPr>
            <w:r>
              <w:rPr>
                <w:rFonts w:ascii="Times New Roman" w:cs="Times New Roman" w:eastAsia="Times New Roman" w:hAnsi="Times New Roman"/>
                <w:sz w:val="18"/>
                <w:szCs w:val="18"/>
                <w:color w:val="auto"/>
              </w:rPr>
              <w:t>Loss on sale/disposal of assets, net</w:t>
            </w: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tcPr>
          <w:p>
            <w:pPr>
              <w:jc w:val="right"/>
              <w:ind w:right="160"/>
              <w:spacing w:after="0" w:line="18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shd w:val="clear" w:color="auto" w:fill="CCEEFF"/>
          </w:tcPr>
          <w:p>
            <w:pPr>
              <w:ind w:left="320"/>
              <w:spacing w:after="0" w:line="186" w:lineRule="exact"/>
              <w:rPr>
                <w:sz w:val="20"/>
                <w:szCs w:val="20"/>
                <w:color w:val="auto"/>
              </w:rPr>
            </w:pPr>
            <w:r>
              <w:rPr>
                <w:rFonts w:ascii="Times New Roman" w:cs="Times New Roman" w:eastAsia="Times New Roman" w:hAnsi="Times New Roman"/>
                <w:sz w:val="18"/>
                <w:szCs w:val="18"/>
                <w:color w:val="auto"/>
              </w:rPr>
              <w:t>Asset impairments</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line="18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color w:val="auto"/>
              </w:rPr>
              <w:t>Changes in working capital and other operating assets and liabilities:</w:t>
            </w: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40" w:type="dxa"/>
            <w:vAlign w:val="bottom"/>
            <w:shd w:val="clear" w:color="auto" w:fill="CCEEFF"/>
          </w:tcPr>
          <w:p>
            <w:pPr>
              <w:ind w:left="320"/>
              <w:spacing w:after="0" w:line="186" w:lineRule="exact"/>
              <w:rPr>
                <w:sz w:val="20"/>
                <w:szCs w:val="20"/>
                <w:color w:val="auto"/>
              </w:rPr>
            </w:pPr>
            <w:r>
              <w:rPr>
                <w:rFonts w:ascii="Times New Roman" w:cs="Times New Roman" w:eastAsia="Times New Roman" w:hAnsi="Times New Roman"/>
                <w:sz w:val="18"/>
                <w:szCs w:val="18"/>
                <w:color w:val="auto"/>
              </w:rPr>
              <w:t>Accounts receivable</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4,165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1,682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320"/>
              <w:spacing w:after="0" w:line="186" w:lineRule="exact"/>
              <w:rPr>
                <w:sz w:val="20"/>
                <w:szCs w:val="20"/>
                <w:color w:val="auto"/>
              </w:rPr>
            </w:pPr>
            <w:r>
              <w:rPr>
                <w:rFonts w:ascii="Times New Roman" w:cs="Times New Roman" w:eastAsia="Times New Roman" w:hAnsi="Times New Roman"/>
                <w:sz w:val="18"/>
                <w:szCs w:val="18"/>
                <w:color w:val="auto"/>
              </w:rPr>
              <w:t>Inventories, prepaids and other current assets</w:t>
            </w: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1,545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40" w:type="dxa"/>
            <w:vAlign w:val="bottom"/>
            <w:shd w:val="clear" w:color="auto" w:fill="CCEEFF"/>
          </w:tcPr>
          <w:p>
            <w:pPr>
              <w:ind w:left="320"/>
              <w:spacing w:after="0" w:line="186" w:lineRule="exact"/>
              <w:rPr>
                <w:sz w:val="20"/>
                <w:szCs w:val="20"/>
                <w:color w:val="auto"/>
              </w:rPr>
            </w:pPr>
            <w:r>
              <w:rPr>
                <w:rFonts w:ascii="Times New Roman" w:cs="Times New Roman" w:eastAsia="Times New Roman" w:hAnsi="Times New Roman"/>
                <w:sz w:val="18"/>
                <w:szCs w:val="18"/>
                <w:color w:val="auto"/>
              </w:rPr>
              <w:t>Other assets</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320"/>
              <w:spacing w:after="0" w:line="186" w:lineRule="exact"/>
              <w:rPr>
                <w:sz w:val="20"/>
                <w:szCs w:val="20"/>
                <w:color w:val="auto"/>
              </w:rPr>
            </w:pPr>
            <w:r>
              <w:rPr>
                <w:rFonts w:ascii="Times New Roman" w:cs="Times New Roman" w:eastAsia="Times New Roman" w:hAnsi="Times New Roman"/>
                <w:sz w:val="18"/>
                <w:szCs w:val="18"/>
                <w:color w:val="auto"/>
              </w:rPr>
              <w:t>Accounts payable</w:t>
            </w: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tcPr>
          <w:p>
            <w:pPr>
              <w:jc w:val="right"/>
              <w:ind w:right="80"/>
              <w:spacing w:after="0" w:line="186" w:lineRule="exact"/>
              <w:rPr>
                <w:sz w:val="20"/>
                <w:szCs w:val="20"/>
                <w:color w:val="auto"/>
              </w:rPr>
            </w:pPr>
            <w:r>
              <w:rPr>
                <w:rFonts w:ascii="Times New Roman" w:cs="Times New Roman" w:eastAsia="Times New Roman" w:hAnsi="Times New Roman"/>
                <w:sz w:val="18"/>
                <w:szCs w:val="18"/>
                <w:color w:val="auto"/>
              </w:rPr>
              <w:t>(1,078)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(2,780)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40" w:type="dxa"/>
            <w:vAlign w:val="bottom"/>
            <w:shd w:val="clear" w:color="auto" w:fill="CCEEFF"/>
          </w:tcPr>
          <w:p>
            <w:pPr>
              <w:ind w:left="320"/>
              <w:spacing w:after="0" w:line="186" w:lineRule="exact"/>
              <w:rPr>
                <w:sz w:val="20"/>
                <w:szCs w:val="20"/>
                <w:color w:val="auto"/>
              </w:rPr>
            </w:pPr>
            <w:r>
              <w:rPr>
                <w:rFonts w:ascii="Times New Roman" w:cs="Times New Roman" w:eastAsia="Times New Roman" w:hAnsi="Times New Roman"/>
                <w:sz w:val="18"/>
                <w:szCs w:val="18"/>
                <w:color w:val="auto"/>
              </w:rPr>
              <w:t>Compensation and benefit obligations</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6" w:lineRule="exact"/>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(778)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320"/>
              <w:spacing w:after="0" w:line="186" w:lineRule="exact"/>
              <w:rPr>
                <w:sz w:val="20"/>
                <w:szCs w:val="20"/>
                <w:color w:val="auto"/>
              </w:rPr>
            </w:pPr>
            <w:r>
              <w:rPr>
                <w:rFonts w:ascii="Times New Roman" w:cs="Times New Roman" w:eastAsia="Times New Roman" w:hAnsi="Times New Roman"/>
                <w:sz w:val="18"/>
                <w:szCs w:val="18"/>
                <w:color w:val="auto"/>
              </w:rPr>
              <w:t>Other accrued expenses</w:t>
            </w: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1,525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shd w:val="clear" w:color="auto" w:fill="CCEEFF"/>
          </w:tcPr>
          <w:p>
            <w:pPr>
              <w:ind w:left="320"/>
              <w:spacing w:after="0" w:line="186" w:lineRule="exact"/>
              <w:rPr>
                <w:sz w:val="20"/>
                <w:szCs w:val="20"/>
                <w:color w:val="auto"/>
              </w:rPr>
            </w:pPr>
            <w:r>
              <w:rPr>
                <w:rFonts w:ascii="Times New Roman" w:cs="Times New Roman" w:eastAsia="Times New Roman" w:hAnsi="Times New Roman"/>
                <w:sz w:val="18"/>
                <w:szCs w:val="18"/>
                <w:color w:val="auto"/>
              </w:rPr>
              <w:t>Contract liabilities</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(1,088)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840" w:type="dxa"/>
            <w:vAlign w:val="bottom"/>
          </w:tcPr>
          <w:p>
            <w:pPr>
              <w:ind w:left="320"/>
              <w:spacing w:after="0" w:line="186" w:lineRule="exact"/>
              <w:rPr>
                <w:sz w:val="20"/>
                <w:szCs w:val="20"/>
                <w:color w:val="auto"/>
              </w:rPr>
            </w:pPr>
            <w:r>
              <w:rPr>
                <w:rFonts w:ascii="Times New Roman" w:cs="Times New Roman" w:eastAsia="Times New Roman" w:hAnsi="Times New Roman"/>
                <w:sz w:val="18"/>
                <w:szCs w:val="18"/>
                <w:color w:val="auto"/>
              </w:rPr>
              <w:t>Other post-employment benefits</w:t>
            </w: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tcPr>
          <w:p>
            <w:pPr>
              <w:jc w:val="right"/>
              <w:ind w:right="80"/>
              <w:spacing w:after="0" w:line="186" w:lineRule="exact"/>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840" w:type="dxa"/>
            <w:vAlign w:val="bottom"/>
            <w:tcBorders>
              <w:top w:val="single" w:sz="8" w:color="CCEEFF"/>
              <w:bottom w:val="single" w:sz="8" w:color="CCEEFF"/>
            </w:tcBorders>
            <w:shd w:val="clear" w:color="auto" w:fill="CCEEFF"/>
          </w:tcPr>
          <w:p>
            <w:pPr>
              <w:ind w:left="420"/>
              <w:spacing w:after="0" w:line="186" w:lineRule="exact"/>
              <w:rPr>
                <w:sz w:val="20"/>
                <w:szCs w:val="20"/>
                <w:color w:val="auto"/>
              </w:rPr>
            </w:pPr>
            <w:r>
              <w:rPr>
                <w:rFonts w:ascii="Times New Roman" w:cs="Times New Roman" w:eastAsia="Times New Roman" w:hAnsi="Times New Roman"/>
                <w:sz w:val="18"/>
                <w:szCs w:val="18"/>
                <w:color w:val="auto"/>
              </w:rPr>
              <w:t>Net cash used for operating activities</w:t>
            </w:r>
          </w:p>
        </w:tc>
        <w:tc>
          <w:tcPr>
            <w:tcW w:w="14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(1,174)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(13,933)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840" w:type="dxa"/>
            <w:vAlign w:val="bottom"/>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84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Purchases of assets</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6" w:lineRule="exact"/>
              <w:rPr>
                <w:sz w:val="20"/>
                <w:szCs w:val="20"/>
                <w:color w:val="auto"/>
              </w:rPr>
            </w:pPr>
            <w:r>
              <w:rPr>
                <w:rFonts w:ascii="Times New Roman" w:cs="Times New Roman" w:eastAsia="Times New Roman" w:hAnsi="Times New Roman"/>
                <w:sz w:val="18"/>
                <w:szCs w:val="18"/>
                <w:color w:val="auto"/>
              </w:rPr>
              <w:t>(1,148)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(1,627)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4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Purchases of short-term investments</w:t>
            </w: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tcPr>
          <w:p>
            <w:pPr>
              <w:jc w:val="right"/>
              <w:ind w:right="80"/>
              <w:spacing w:after="0" w:line="186" w:lineRule="exact"/>
              <w:rPr>
                <w:sz w:val="20"/>
                <w:szCs w:val="20"/>
                <w:color w:val="auto"/>
              </w:rPr>
            </w:pPr>
            <w:r>
              <w:rPr>
                <w:rFonts w:ascii="Times New Roman" w:cs="Times New Roman" w:eastAsia="Times New Roman" w:hAnsi="Times New Roman"/>
                <w:sz w:val="18"/>
                <w:szCs w:val="18"/>
                <w:color w:val="auto"/>
              </w:rPr>
              <w:t>(10,500)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Return on short-term investments</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84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Note payment received for asset sales</w:t>
            </w: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tcPr>
          <w:p>
            <w:pPr>
              <w:jc w:val="right"/>
              <w:ind w:right="160"/>
              <w:spacing w:after="0" w:line="18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22,400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840" w:type="dxa"/>
            <w:vAlign w:val="bottom"/>
            <w:tcBorders>
              <w:top w:val="single" w:sz="8" w:color="CCEEFF"/>
              <w:bottom w:val="single" w:sz="8" w:color="CCEEFF"/>
            </w:tcBorders>
            <w:shd w:val="clear" w:color="auto" w:fill="CCEEFF"/>
          </w:tcPr>
          <w:p>
            <w:pPr>
              <w:ind w:left="420"/>
              <w:spacing w:after="0" w:line="186" w:lineRule="exact"/>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14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(11,528)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20,773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840" w:type="dxa"/>
            <w:vAlign w:val="bottom"/>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84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Dividends paid</w:t>
            </w:r>
          </w:p>
        </w:tc>
        <w:tc>
          <w:tcPr>
            <w:tcW w:w="1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186" w:lineRule="exact"/>
              <w:rPr>
                <w:sz w:val="20"/>
                <w:szCs w:val="20"/>
                <w:color w:val="auto"/>
              </w:rPr>
            </w:pPr>
            <w:r>
              <w:rPr>
                <w:rFonts w:ascii="Times New Roman" w:cs="Times New Roman" w:eastAsia="Times New Roman" w:hAnsi="Times New Roman"/>
                <w:sz w:val="18"/>
                <w:szCs w:val="18"/>
                <w:color w:val="auto"/>
              </w:rPr>
              <w:t>(3,426)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(11,454)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840" w:type="dxa"/>
            <w:vAlign w:val="bottom"/>
            <w:tcBorders>
              <w:top w:val="single" w:sz="8" w:color="CCEEFF"/>
              <w:bottom w:val="single" w:sz="8" w:color="CCEEFF"/>
            </w:tcBorders>
          </w:tcPr>
          <w:p>
            <w:pPr>
              <w:ind w:left="420"/>
              <w:spacing w:after="0" w:line="172" w:lineRule="exact"/>
              <w:rPr>
                <w:sz w:val="20"/>
                <w:szCs w:val="20"/>
                <w:color w:val="auto"/>
              </w:rPr>
            </w:pPr>
            <w:r>
              <w:rPr>
                <w:rFonts w:ascii="Times New Roman" w:cs="Times New Roman" w:eastAsia="Times New Roman" w:hAnsi="Times New Roman"/>
                <w:sz w:val="18"/>
                <w:szCs w:val="18"/>
                <w:color w:val="auto"/>
              </w:rPr>
              <w:t>Net cash used for financing activities</w:t>
            </w:r>
          </w:p>
        </w:tc>
        <w:tc>
          <w:tcPr>
            <w:tcW w:w="1400" w:type="dxa"/>
            <w:vAlign w:val="bottom"/>
            <w:tcBorders>
              <w:top w:val="single" w:sz="8" w:color="CCEEFF"/>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(3,426)</w:t>
            </w: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(11,454)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8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(16,128)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(4,614)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840" w:type="dxa"/>
            <w:vAlign w:val="bottom"/>
            <w:tcBorders>
              <w:bottom w:val="single" w:sz="8" w:color="CCEEFF"/>
            </w:tcBorders>
          </w:tcPr>
          <w:p>
            <w:pPr>
              <w:spacing w:after="0" w:line="186" w:lineRule="exact"/>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27,825</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32,439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40" w:type="dxa"/>
            <w:vAlign w:val="bottom"/>
            <w:tcBorders>
              <w:bottom w:val="single" w:sz="8" w:color="CCEEFF"/>
            </w:tcBorders>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Cash and cash equivalents, end of period</w:t>
            </w:r>
          </w:p>
        </w:tc>
        <w:tc>
          <w:tcPr>
            <w:tcW w:w="14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52"/>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11,697</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52"/>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27,825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8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Income tax paid, net</w:t>
            </w:r>
          </w:p>
        </w:tc>
        <w:tc>
          <w:tcPr>
            <w:tcW w:w="1740" w:type="dxa"/>
            <w:vAlign w:val="bottom"/>
            <w:gridSpan w:val="2"/>
          </w:tcPr>
          <w:p>
            <w:pPr>
              <w:jc w:val="right"/>
              <w:ind w:right="152"/>
              <w:spacing w:after="0" w:line="18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16"/>
                <w:szCs w:val="16"/>
                <w:color w:val="auto"/>
              </w:rPr>
            </w:pPr>
          </w:p>
        </w:tc>
        <w:tc>
          <w:tcPr>
            <w:tcW w:w="420" w:type="dxa"/>
            <w:vAlign w:val="bottom"/>
            <w:gridSpan w:val="2"/>
          </w:tcPr>
          <w:p>
            <w:pPr>
              <w:jc w:val="right"/>
              <w:ind w:right="152"/>
              <w:spacing w:after="0" w:line="18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619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4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Investments in property, plant and equipment payable</w:t>
            </w: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4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Dividends payable</w:t>
            </w:r>
          </w:p>
        </w:tc>
        <w:tc>
          <w:tcPr>
            <w:tcW w:w="1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856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856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accompanying Notes to the Consolidated Financial Statements.</w:t>
      </w:r>
    </w:p>
    <w:p>
      <w:pPr>
        <w:spacing w:after="0" w:line="200" w:lineRule="exact"/>
        <w:rPr>
          <w:sz w:val="20"/>
          <w:szCs w:val="20"/>
          <w:color w:val="auto"/>
        </w:rPr>
      </w:pPr>
    </w:p>
    <w:p>
      <w:pPr>
        <w:spacing w:after="0" w:line="295" w:lineRule="exact"/>
        <w:rPr>
          <w:sz w:val="20"/>
          <w:szCs w:val="20"/>
          <w:color w:val="auto"/>
        </w:rPr>
      </w:pPr>
    </w:p>
    <w:p>
      <w:pPr>
        <w:jc w:val="right"/>
        <w:spacing w:after="0"/>
        <w:tabs>
          <w:tab w:leader="none" w:pos="6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DallasNews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 1: Significant Accounting Policies and Recently Issued Accounting Standards</w:t>
      </w:r>
    </w:p>
    <w:p>
      <w:pPr>
        <w:spacing w:after="0" w:line="17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color w:val="auto"/>
        </w:rPr>
        <w:t>DallasNews Corporation and its subsidiaries are referred to collectively herein as “DallasNews” or the “Company.” DallasNews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was formed in February 2008 through a spin-off from its former parent company and is registered on The Nasdaq Stock Market LLC (Nasdaq trading symbol: DALN). DallasNews is the Dallas-based holding company of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and Medium Giant.</w:t>
      </w:r>
    </w:p>
    <w:p>
      <w:pPr>
        <w:spacing w:after="0" w:line="15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The Company operates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dallasnews.com</w:t>
      </w:r>
      <w:r>
        <w:rPr>
          <w:rFonts w:ascii="Times New Roman" w:cs="Times New Roman" w:eastAsia="Times New Roman" w:hAnsi="Times New Roman"/>
          <w:sz w:val="18"/>
          <w:szCs w:val="18"/>
          <w:color w:val="auto"/>
        </w:rPr>
        <w:t>), Texas’ leading newspaper and winner of nine Pulitzer Prizes. These operations generate revenue from sales of advertising within the Company’s newspaper and digital platforms, subscriptions and retail sales of its newspaper, commercial printing and distribution services primarily related to national newspapers.</w:t>
      </w:r>
    </w:p>
    <w:p>
      <w:pPr>
        <w:spacing w:after="0" w:line="154"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In addition, the Company has a full-service agency, Medium Giant, with capabilities including strategy, creative and media management with a focus on strategic and digital marketing, and data intelligence that provide a measurable return on investment to its clients.</w:t>
      </w:r>
    </w:p>
    <w:p>
      <w:pPr>
        <w:spacing w:after="0" w:line="1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Employees. </w:t>
      </w:r>
      <w:r>
        <w:rPr>
          <w:rFonts w:ascii="Times New Roman" w:cs="Times New Roman" w:eastAsia="Times New Roman" w:hAnsi="Times New Roman"/>
          <w:sz w:val="18"/>
          <w:szCs w:val="18"/>
          <w:color w:val="auto"/>
        </w:rPr>
        <w:t>As of December 31, 2023, the Company had 601 employees of which approximately 20 percent are under a collective bargaining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became effective on July 1, 2023. In the fourth quarter of 2023, the Company’s voluntary severance program closed, which resulted in 58 employees accepting the offer who will depart in 2024. Related severance expense of $2,607 is included in other accrued expense in the Consolidated Balance Sheet as of December 31, 2023.</w:t>
      </w:r>
    </w:p>
    <w:p>
      <w:pPr>
        <w:spacing w:after="0" w:line="14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The consolidated financial statements included herein have been prepared in accordance with accounting principles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in the United States of America (“GAAP”) and include the accounts of the Company and its majority owned subsidiaries over which the Company exercises control. All intercompany balances and transactions have been eliminated in consolidation. All dollar amounts presented herein, except share and per share amounts, are in thousands, unless the context indicates otherwise.</w:t>
      </w:r>
    </w:p>
    <w:p>
      <w:pPr>
        <w:spacing w:after="0" w:line="154"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Use of Estimates.</w:t>
      </w:r>
      <w:r>
        <w:rPr>
          <w:sz w:val="20"/>
          <w:szCs w:val="20"/>
          <w:color w:val="auto"/>
        </w:rPr>
        <w:tab/>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w:t>
      </w:r>
    </w:p>
    <w:p>
      <w:pPr>
        <w:spacing w:after="0" w:line="14" w:lineRule="exact"/>
        <w:rPr>
          <w:sz w:val="20"/>
          <w:szCs w:val="20"/>
          <w:color w:val="auto"/>
        </w:rPr>
      </w:pPr>
    </w:p>
    <w:p>
      <w:pPr>
        <w:jc w:val="both"/>
        <w:ind w:firstLine="6"/>
        <w:spacing w:after="0" w:line="226" w:lineRule="auto"/>
        <w:tabs>
          <w:tab w:leader="none" w:pos="2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amounts of assets and liabilities, (ii) the disclosure of contingent assets and liabilities known to exist as of the date the financial statements are published, and (iii) the reported amount of net operating revenues and expenses recognized during the periods presented. Adjustments made with respect to the use of estimates often relate to improved information not previously available. Uncertainties with respect to such estimates and assumptions are inherent in the preparation of financial statements; accordingly, actual results could differ from these estimates.</w:t>
      </w:r>
    </w:p>
    <w:p>
      <w:pPr>
        <w:spacing w:after="0" w:line="15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212529"/>
        </w:rPr>
        <w:t xml:space="preserve">Areas where estimates are used include valuation allowances for doubtful accounts, fair value measurements, pension plan assets, pension and other post-employment benefit obligation assumptions, income taxes, leases, self-insured liabilities, and </w:t>
      </w:r>
      <w:r>
        <w:rPr>
          <w:rFonts w:ascii="Times New Roman" w:cs="Times New Roman" w:eastAsia="Times New Roman" w:hAnsi="Times New Roman"/>
          <w:sz w:val="18"/>
          <w:szCs w:val="18"/>
          <w:color w:val="000000"/>
        </w:rPr>
        <w:t>assumptions related to</w:t>
      </w:r>
      <w:r>
        <w:rPr>
          <w:rFonts w:ascii="Times New Roman" w:cs="Times New Roman" w:eastAsia="Times New Roman" w:hAnsi="Times New Roman"/>
          <w:sz w:val="18"/>
          <w:szCs w:val="18"/>
          <w:color w:val="212529"/>
        </w:rPr>
        <w:t xml:space="preserve"> long-lived assets impairment review. </w:t>
      </w:r>
      <w:r>
        <w:rPr>
          <w:rFonts w:ascii="Times New Roman" w:cs="Times New Roman" w:eastAsia="Times New Roman" w:hAnsi="Times New Roman"/>
          <w:sz w:val="18"/>
          <w:szCs w:val="18"/>
          <w:color w:val="000000"/>
        </w:rPr>
        <w:t>Estimates are based on past experience and other considerations reasonable under the circumstances. Actual results may differ from these estimates.</w:t>
      </w:r>
    </w:p>
    <w:p>
      <w:pPr>
        <w:spacing w:after="0" w:line="1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Segment Presentation. </w:t>
      </w:r>
      <w:r>
        <w:rPr>
          <w:rFonts w:ascii="Times New Roman" w:cs="Times New Roman" w:eastAsia="Times New Roman" w:hAnsi="Times New Roman"/>
          <w:sz w:val="18"/>
          <w:szCs w:val="18"/>
          <w:color w:val="auto"/>
        </w:rPr>
        <w:t>Based on the Company’s structure and organizational chart, the Company’s chief operating decision-maker (the “CODM”) is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Grant S. Moise. Based on how the Company’s CODM makes decisions about allocating resources and assessing performance, the Company determined it has one reportable segment.</w:t>
      </w:r>
    </w:p>
    <w:p>
      <w:pPr>
        <w:spacing w:after="0" w:line="1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The Company considers all highly liquid instruments purchased with original maturities of three months or less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The Company places its cash and cash equivalents with high credit quality institutions. The Company has not experienced any losses in such accounts and believes it is not exposed to any significant credit risk on cash and cash equivalents.</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Short-term Investments. </w:t>
      </w:r>
      <w:r>
        <w:rPr>
          <w:rFonts w:ascii="Times New Roman" w:cs="Times New Roman" w:eastAsia="Times New Roman" w:hAnsi="Times New Roman"/>
          <w:sz w:val="18"/>
          <w:szCs w:val="18"/>
          <w:color w:val="auto"/>
        </w:rPr>
        <w:t>In 2023, the Company invested in Certificates of Deposit (“CD’s”) with original maturities of more than 90 days but one year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 included in short-term investments in the Consolidated Balance Sheet. These investments are classified as held-to-maturity and are valued at amortized cost, which approximates fair value.</w:t>
      </w:r>
    </w:p>
    <w:p>
      <w:pPr>
        <w:spacing w:after="0" w:line="15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Risk Concentration. </w:t>
      </w:r>
      <w:r>
        <w:rPr>
          <w:rFonts w:ascii="Times New Roman" w:cs="Times New Roman" w:eastAsia="Times New Roman" w:hAnsi="Times New Roman"/>
          <w:sz w:val="18"/>
          <w:szCs w:val="18"/>
          <w:color w:val="auto"/>
        </w:rPr>
        <w:t>The print media industry has encountered continuous declines in revenue primarily due to the secular shift of readers and advertisers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platforms. The Company has sought to limit its exposure to these industry risks through greater development of its digital platforms for delivery of news and advertising, and leveraging its brand and personnel to enhance its media agency solutions. However, these improvements may not result in a sufficient increase in revenue to offset the declines the Company is experiencing in its traditional print media business.</w:t>
      </w:r>
    </w:p>
    <w:p>
      <w:pPr>
        <w:spacing w:after="0" w:line="200" w:lineRule="exact"/>
        <w:rPr>
          <w:sz w:val="20"/>
          <w:szCs w:val="20"/>
          <w:color w:val="auto"/>
        </w:rPr>
      </w:pPr>
    </w:p>
    <w:p>
      <w:pPr>
        <w:spacing w:after="0" w:line="272" w:lineRule="exact"/>
        <w:rPr>
          <w:sz w:val="20"/>
          <w:szCs w:val="20"/>
          <w:color w:val="auto"/>
        </w:rPr>
      </w:pPr>
    </w:p>
    <w:p>
      <w:pPr>
        <w:ind w:left="5940"/>
        <w:spacing w:after="0"/>
        <w:tabs>
          <w:tab w:leader="none" w:pos="1052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4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 significant portion of the Company’s customer base is concentrated within the North Texas geographical area. The Company generally extends credit to customers, and the ultimate collection of accounts receivable could be affected by the national and local economy. Management continually performs credit evaluations of its customers and may require cash in advance or other special arrangements from certain customers. The Company maintains an allowance for losses based upon the collectability of accounts receivable. Management does not believe significant credit risk exists that could have a material adverse effect on the Company’s consolidated financial condition, liquidity or results of operations.</w:t>
      </w:r>
    </w:p>
    <w:p>
      <w:pPr>
        <w:spacing w:after="0" w:line="15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consisting primarily of newsprint, ink and other supplies used in printing newspapers, are recorded at the lower of cost or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realizable value. Cost is determined by the weighted average purchase price of the inventory acquired.</w:t>
      </w:r>
    </w:p>
    <w:p>
      <w:pPr>
        <w:spacing w:after="0" w:line="13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The Company records property, plant and equipment at cost or its fair value if acquired through a business acquisition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non-monetary exchange. Depreciation is recorded on a straight-line basis over the estimated useful lives of the assets and depreciable assets are reviewed to ensure the remaining useful life of the assets continues to be appropriate. An adjustment resulting from a change in the estimated useful life of an asset is recorded to depreciation expense on a prospective basis.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property, plant and equipment by type.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84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9"/>
        </w:trPr>
        <w:tc>
          <w:tcPr>
            <w:tcW w:w="7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186"/>
        </w:trPr>
        <w:tc>
          <w:tcPr>
            <w:tcW w:w="732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Land</w:t>
            </w:r>
          </w:p>
        </w:tc>
        <w:tc>
          <w:tcPr>
            <w:tcW w:w="280" w:type="dxa"/>
            <w:vAlign w:val="bottom"/>
            <w:shd w:val="clear" w:color="auto" w:fill="CCEEFF"/>
          </w:tcPr>
          <w:p>
            <w:pPr>
              <w:jc w:val="right"/>
              <w:ind w:right="117"/>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1,971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37"/>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1,971</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5"/>
        </w:trPr>
        <w:tc>
          <w:tcPr>
            <w:tcW w:w="732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Buildings and improvements</w:t>
            </w:r>
          </w:p>
        </w:tc>
        <w:tc>
          <w:tcPr>
            <w:tcW w:w="28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85,718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85,714</w:t>
            </w:r>
          </w:p>
        </w:tc>
        <w:tc>
          <w:tcPr>
            <w:tcW w:w="14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5 - 30 years</w:t>
            </w:r>
          </w:p>
        </w:tc>
      </w:tr>
      <w:tr>
        <w:trPr>
          <w:trHeight w:val="186"/>
        </w:trPr>
        <w:tc>
          <w:tcPr>
            <w:tcW w:w="732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Publishing equipment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173,994</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173,646</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3 - 20 years</w:t>
            </w:r>
          </w:p>
        </w:tc>
      </w:tr>
      <w:tr>
        <w:trPr>
          <w:trHeight w:val="185"/>
        </w:trPr>
        <w:tc>
          <w:tcPr>
            <w:tcW w:w="732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45,528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51,336</w:t>
            </w:r>
          </w:p>
        </w:tc>
        <w:tc>
          <w:tcPr>
            <w:tcW w:w="14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3 - 10 years</w:t>
            </w:r>
          </w:p>
        </w:tc>
      </w:tr>
      <w:tr>
        <w:trPr>
          <w:trHeight w:val="206"/>
        </w:trPr>
        <w:tc>
          <w:tcPr>
            <w:tcW w:w="7320" w:type="dxa"/>
            <w:vAlign w:val="bottom"/>
            <w:tcBorders>
              <w:bottom w:val="single" w:sz="8" w:color="CCEEFF"/>
            </w:tcBorders>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Construction in process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225</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773</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72"/>
        </w:trPr>
        <w:tc>
          <w:tcPr>
            <w:tcW w:w="732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307,436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313,440</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6"/>
        </w:trPr>
        <w:tc>
          <w:tcPr>
            <w:tcW w:w="732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186" w:lineRule="exact"/>
              <w:rPr>
                <w:sz w:val="20"/>
                <w:szCs w:val="20"/>
                <w:color w:val="auto"/>
              </w:rPr>
            </w:pPr>
            <w:r>
              <w:rPr>
                <w:rFonts w:ascii="Times New Roman" w:cs="Times New Roman" w:eastAsia="Times New Roman" w:hAnsi="Times New Roman"/>
                <w:sz w:val="18"/>
                <w:szCs w:val="18"/>
                <w:color w:val="auto"/>
              </w:rPr>
              <w:t>(300,337)</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(306,002)</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72"/>
        </w:trPr>
        <w:tc>
          <w:tcPr>
            <w:tcW w:w="7320" w:type="dxa"/>
            <w:vAlign w:val="bottom"/>
            <w:tcBorders>
              <w:top w:val="single" w:sz="8" w:color="CCEEFF"/>
            </w:tcBorders>
          </w:tcPr>
          <w:p>
            <w:pPr>
              <w:spacing w:after="0" w:line="172"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Borders>
              <w:top w:val="single" w:sz="8" w:color="auto"/>
              <w:bottom w:val="single" w:sz="8" w:color="auto"/>
            </w:tcBorders>
          </w:tcPr>
          <w:p>
            <w:pPr>
              <w:jc w:val="right"/>
              <w:ind w:right="117"/>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7,099</w:t>
            </w: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ind w:right="237"/>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7,438</w:t>
            </w:r>
          </w:p>
        </w:tc>
        <w:tc>
          <w:tcPr>
            <w:tcW w:w="1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Long-Lived Assets. </w:t>
      </w:r>
      <w:r>
        <w:rPr>
          <w:rFonts w:ascii="Times New Roman" w:cs="Times New Roman" w:eastAsia="Times New Roman" w:hAnsi="Times New Roman"/>
          <w:sz w:val="18"/>
          <w:szCs w:val="18"/>
          <w:color w:val="auto"/>
        </w:rPr>
        <w:t>The Company evaluates its ability to recover the carrying value of property, plant and equipment, using the lowest level of separately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identifiable cash flows associated with the assets, which are grouped based on the Company’s intended use of these assets. This evaluation is performed whenever a change in circumstances indicates that the carrying value of an asset group may not be recoverable. If the analysis of undiscounted future cash flows indicates the carrying value of the long-lived assets cannot be recovered, the assets are adjusted to the lower of carrying value or fair value.</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performed a review of potential impairment indicators for its long-lived assets, including property, plant and equipment, and right-of-use assets. The Company determined there was no significant decrease in the market value of the long-lived assets or significant change in the extent or manner in which the asset group is being used or in its physical condition as of December 31, 2023, and there was no significant adverse change in legal factors or in the business climate during the period that could affect the value of the asset group. Based upon the review of indicators, the Company did not identify any events or changes in circumstances that indicate the carrying amount of long-lived assets may not be recoverable</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In part this is due to the estimated fair value of certain land and buildings significantly exceeding their carrying value. </w:t>
      </w:r>
      <w:r>
        <w:rPr>
          <w:rFonts w:ascii="Times New Roman" w:cs="Times New Roman" w:eastAsia="Times New Roman" w:hAnsi="Times New Roman"/>
          <w:sz w:val="18"/>
          <w:szCs w:val="18"/>
          <w:color w:val="212529"/>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Note 4 – 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for information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the right-of-use asset impairment that occurred in 2022.</w:t>
      </w:r>
    </w:p>
    <w:p>
      <w:pPr>
        <w:spacing w:after="0" w:line="16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color w:val="auto"/>
        </w:rPr>
        <w:t>The Company owns certain equity securities in private companies in which it does not exercise control. These investments are recorded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cost method with a balance of $1,432 at December 31, 2023 and 2022, included in other assets, and the Company recognizes income or loss upon the receipt of dividends or distributions, or upon liquidation of the investment. The Company evaluates its ability to recover the carrying value of cost method investments based upon operating results and the financial strength of the investee. If the Company determines the carrying value is not recoverable, an impairment charge is recorded for the difference between the fair value of the investment and the carrying value.</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Pension. </w:t>
      </w:r>
      <w:r>
        <w:rPr>
          <w:rFonts w:ascii="Times New Roman" w:cs="Times New Roman" w:eastAsia="Times New Roman" w:hAnsi="Times New Roman"/>
          <w:sz w:val="18"/>
          <w:szCs w:val="18"/>
          <w:color w:val="auto"/>
        </w:rPr>
        <w:t>The Company follows accounting guidance for single-employer defined benefit plans. Plan assets and the projected benefit obligation are measured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December 31, and the Company records as an asset or liability the net funded position of the plans. Certain changes in actuarial valuations related to returns on plan assets and projected benefit obligations are recorded to accumulated other comprehensive income (loss) and are amortized to net periodic pension expense (benefit) over the weighted average remaining life of plan participants, to the extent the cumulative balance in accumulated other comprehensive income (loss) exceeds 10 percent of the greater of the respective plan’s (a) projected benefit obligation or (b) the market-related value of the plan’s assets. Net periodic pension expense (benefit) is recognized each period by accruing interest expense on the projected benefit obligation and accruing a return on assets associated with the plan assets. Participation in and accrual of new benefits to participants has been frozen since 2007 and, accordingly, on-going service costs are not a component of net periodic pension expense (benefit).</w:t>
      </w:r>
    </w:p>
    <w:p>
      <w:pPr>
        <w:spacing w:after="0" w:line="200" w:lineRule="exact"/>
        <w:rPr>
          <w:sz w:val="20"/>
          <w:szCs w:val="20"/>
          <w:color w:val="auto"/>
        </w:rPr>
      </w:pPr>
    </w:p>
    <w:p>
      <w:pPr>
        <w:spacing w:after="0" w:line="275" w:lineRule="exact"/>
        <w:rPr>
          <w:sz w:val="20"/>
          <w:szCs w:val="20"/>
          <w:color w:val="auto"/>
        </w:rPr>
      </w:pPr>
    </w:p>
    <w:p>
      <w:pPr>
        <w:ind w:left="5940"/>
        <w:spacing w:after="0"/>
        <w:tabs>
          <w:tab w:leader="none" w:pos="1052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4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From time to time, the Company-sponsored plans may settle pension obligations with certain plan participants through the plans’ master trust as part of its de-risking strategies. The gains or losses associated with settlements of plan obligations to participants are recognized to earnings if such settlements exceed the interest component of net periodic pension cost for the year. Otherwise, such amounts are included in actuarial gains (losses) in accumulated other comprehensive income (loss). Re-measurement of plan assets and liabilities upon a significant settlement or curtailment event is performed based on the values of the month-end closest to the event.</w:t>
      </w:r>
    </w:p>
    <w:p>
      <w:pPr>
        <w:spacing w:after="0" w:line="15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color w:val="auto"/>
        </w:rPr>
        <w:t xml:space="preserve">Long-Term Incentive Plan. </w:t>
      </w:r>
      <w:r>
        <w:rPr>
          <w:rFonts w:ascii="Times New Roman" w:cs="Times New Roman" w:eastAsia="Times New Roman" w:hAnsi="Times New Roman"/>
          <w:sz w:val="18"/>
          <w:szCs w:val="18"/>
          <w:color w:val="auto"/>
        </w:rPr>
        <w:t>The Company sponsored a long-term incentive plan (the “Plan”) under which it issued restricted stock units (“RSUs”) and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to directors and certain employees of the Company. Due to the expiration of the Plan in February 2018, DallasNews implemented, and shareholders approved, a new long-term incentive plan (the “2017 Plan”) under which 1,000,000 shares of the Company’s Series A and Series B common stock are authorized and remain available for equity-based awards. Like its predecessor plan, awards under the 2017 Plan may be granted to DallasNews employees and outside directors in the form of non-qualified stock options, incentive stock options, restricted share awards, RSUs, performance shares, performance units or stock appreciation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there were no stock-based awards outstanding.</w:t>
      </w:r>
    </w:p>
    <w:p>
      <w:pPr>
        <w:spacing w:after="0" w:line="1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Shareholders’ Equity. </w:t>
      </w:r>
      <w:r>
        <w:rPr>
          <w:rFonts w:ascii="Times New Roman" w:cs="Times New Roman" w:eastAsia="Times New Roman" w:hAnsi="Times New Roman"/>
          <w:sz w:val="18"/>
          <w:szCs w:val="18"/>
          <w:color w:val="auto"/>
        </w:rPr>
        <w:t>The Company authorized the issuance of shares of Series A and Series B common stock. Series A common stock has one vote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and Series B common stock has 10 votes per share. Shares of Series B common stock are convertible at any time on a share-for-share basis into shares of Series A common stock, but not vice versa.</w:t>
      </w:r>
    </w:p>
    <w:p>
      <w:pPr>
        <w:spacing w:after="0" w:line="1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is authorized to grant stock option and RSU awards to employees and directors of the Company. Upon vesting of RSUs, shares of Series A common stock are issued. Upon the exercise of stock options, Series A common stock is issued if the holder of the stock options executes a simultaneous exercise and sale. If the holder of the stock option chooses not to sell the shares, Series B common stock is issued.</w:t>
      </w:r>
    </w:p>
    <w:p>
      <w:pPr>
        <w:spacing w:after="0" w:line="14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2012, the Company’s board of directors authorized the purchase of the DallasNews Series A or Series B common stock, for use other than retirement, through open market purchases, privately negotiated transactions or otherwise. Treasury stock acquired under the repurchase program is recorded at cost, reducing shareholders’ equity. The acquired shares are available for sale on the open market or for settlement of obligations related to future stock-based awards, if granted.</w:t>
      </w:r>
    </w:p>
    <w:p>
      <w:pPr>
        <w:spacing w:after="0" w:line="14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 xml:space="preserve">Accumulated other comprehensive loss consists of actuarial gains and losses associated with the DallasNews Pension Plans (the “Pension Plans”) and other post-employment benefit (the “OPEB”) plans. The cumulative balances are amortized to earnings over the weighted average remaining life expectancy of the participants to the extent such balances exceed 10 percent of the greater of the respective plan’s (a) projected benefit obligation or (b) the market-related value of the plan’s assets. The Company discloses amounts reclassified from accumulated other comprehensive loss to net income (loss) in </w:t>
      </w:r>
      <w:r>
        <w:rPr>
          <w:rFonts w:ascii="Times New Roman" w:cs="Times New Roman" w:eastAsia="Times New Roman" w:hAnsi="Times New Roman"/>
          <w:sz w:val="18"/>
          <w:szCs w:val="18"/>
          <w:u w:val="single" w:color="auto"/>
          <w:color w:val="0000FF"/>
        </w:rPr>
        <w:t>Note 7 - Shareholders'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Equity</w:t>
      </w:r>
      <w:r>
        <w:rPr>
          <w:rFonts w:ascii="Times New Roman" w:cs="Times New Roman" w:eastAsia="Times New Roman" w:hAnsi="Times New Roman"/>
          <w:sz w:val="18"/>
          <w:szCs w:val="18"/>
          <w:color w:val="000000"/>
        </w:rPr>
        <w:t>.</w:t>
      </w:r>
    </w:p>
    <w:p>
      <w:pPr>
        <w:spacing w:after="0" w:line="15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The Company’s principal sources of revenue are sales of advertising within its newspaper and digital platforms, subscription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retail sales of its newspaper, commercial printing and distribution services, primarily related to national newspapers. In addition, revenue includes strategic marketing services, consulting, branding, paid media strategy and management, creative services, search optimization, direct mail, the sale of promotional materials, and subscriptions to the Company’s multi-channel marketing solutions cloud-based software and services, as well as targeted and multi-channel (programmatic) advertising placed on third-party platforms.</w:t>
      </w:r>
    </w:p>
    <w:p>
      <w:pPr>
        <w:spacing w:after="0" w:line="15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 xml:space="preserve">Revenue is recognized when obligations under the terms of a contract with the Company’s customer are satisfied. This occurs when control of the promised goods or services is transferred to its customers, in an amount that reflects the consideration the Company expects to be entitled to in exchange for those goods or services, typically at contract price or determined by stand-alone selling price. The Company has an estimated allowance for credits, refunds and similar obligations. Sales tax collected concurrent with revenue-producing activities are excluded from revenue. See </w:t>
      </w:r>
      <w:r>
        <w:rPr>
          <w:rFonts w:ascii="Times New Roman" w:cs="Times New Roman" w:eastAsia="Times New Roman" w:hAnsi="Times New Roman"/>
          <w:sz w:val="18"/>
          <w:szCs w:val="18"/>
          <w:u w:val="single" w:color="auto"/>
          <w:color w:val="0000FF"/>
        </w:rPr>
        <w:t>Note 2 – Revenue</w:t>
      </w:r>
      <w:r>
        <w:rPr>
          <w:rFonts w:ascii="Times New Roman" w:cs="Times New Roman" w:eastAsia="Times New Roman" w:hAnsi="Times New Roman"/>
          <w:sz w:val="18"/>
          <w:szCs w:val="18"/>
          <w:color w:val="auto"/>
        </w:rPr>
        <w:t xml:space="preserve"> for disaggregated revenue by source and additional information.</w:t>
      </w:r>
    </w:p>
    <w:p>
      <w:pPr>
        <w:spacing w:after="0" w:line="15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The Company determines if a contract is a lease at the inception of the arrangement. Operating lease right-of-use assets and liabilities are recognized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commencement date of lease agreements greater than one year based on the present value of lease payments over the lease term. In determining the present value of lease payments, the implicit rate was not readily determinable in the Company’s lease agreements. Therefore, the Company used an estimated secured incremental borrowing rate, based on the Company’s credit rating, adjusted for the weighted average term of each lease. Lease expense is recognized on a straight-line basis over the lease term and variable lease costs are expensed as incurred. For leases with terms of 12 months or less, no asset or liability is recorded and lease expense is recognized on a straight-line basis over the lease term. The exercise of lease renewal options are at the Company’s sole discretion and options are recognized when it is reasonably certain the Company will exercise the option. The recognized right-of-use assets and lease liabilities as calculated do not assume renewal options. The Company does not have lease agreements with residual value guarantees, sale leaseback terms or material restrictive covenants. Additionally, the Company does not separately identify lease and nonlease components, such as maintenance costs. Total lease expense for property and equipment was $4,000 and $4,796 in 2023 and 2022, respectively.</w:t>
      </w:r>
    </w:p>
    <w:p>
      <w:pPr>
        <w:spacing w:after="0" w:line="200" w:lineRule="exact"/>
        <w:rPr>
          <w:sz w:val="20"/>
          <w:szCs w:val="20"/>
          <w:color w:val="auto"/>
        </w:rPr>
      </w:pPr>
    </w:p>
    <w:p>
      <w:pPr>
        <w:spacing w:after="0" w:line="271" w:lineRule="exact"/>
        <w:rPr>
          <w:sz w:val="20"/>
          <w:szCs w:val="20"/>
          <w:color w:val="auto"/>
        </w:rPr>
      </w:pPr>
    </w:p>
    <w:p>
      <w:pPr>
        <w:jc w:val="right"/>
        <w:spacing w:after="0"/>
        <w:tabs>
          <w:tab w:leader="none" w:pos="6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2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 uses the asset and liability method of accounting for income taxes and recognizes deferred tax assets and liabilities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difference between the financial statement and tax basis of assets and liabilities using enacted tax rates. The Company establishes a valuation allowance if it is more-likely-than-not that the deferred tax assets will not be realized. The factors used to assess the likelihood of realization of the deferred tax assets include future reversal of deferred tax liabilities, available tax planning strategies, future taxable income and taxable income in prior carryback years.</w:t>
      </w:r>
    </w:p>
    <w:p>
      <w:pPr>
        <w:spacing w:after="0" w:line="14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The Company evaluates any uncertain tax positions each reporting period by tax jurisdiction to determine if it is more-likely-than-not that the tax position will not be sustained on examination by the taxing authorities, based on the technical merits of the position. The tax benefits recognized in the financial statements for such positions are measured based on the largest benefit that has a greater than 50 percent likelihood of being realized upon ultimate settlement. If a net operating loss or other tax credit carry forward exists, the Company records the unrecognized tax benefits for such tax positions as a reduction to a deferred tax asset. Otherwise, the unrecognized tax benefits are recorded as a liability. The Company records a liability for uncertain tax positions taken or expected to be taken in a tax return. Any change in judgment related to the expected ultimate resolution of uncertain tax positions is recognized in earnings in the period in which such change occurs. Interest and penalties, if any, related to unrecognized tax benefits are recorded in other income (loss), net.</w:t>
      </w:r>
    </w:p>
    <w:p>
      <w:pPr>
        <w:spacing w:after="0" w:line="1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The Company’s financial instruments, including cash, cash equivalents, short-term investments, accounts receivable,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receivable, accounts payable and amounts due to customers are carried at cost, which approximates its fair value because of the short-term nature of these instruments.</w:t>
      </w:r>
    </w:p>
    <w:p>
      <w:pPr>
        <w:spacing w:after="0" w:line="15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Recently Adopted Accounting Pronouncements. </w:t>
      </w:r>
      <w:r>
        <w:rPr>
          <w:rFonts w:ascii="Times New Roman" w:cs="Times New Roman" w:eastAsia="Times New Roman" w:hAnsi="Times New Roman"/>
          <w:sz w:val="18"/>
          <w:szCs w:val="18"/>
          <w:color w:val="auto"/>
        </w:rPr>
        <w:t>In June 2016, the Financial Accounting Standards Board (“FASB”) issued Accounting Standards Update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(“ASU”) 2016-13 – </w:t>
      </w:r>
      <w:r>
        <w:rPr>
          <w:rFonts w:ascii="Times New Roman" w:cs="Times New Roman" w:eastAsia="Times New Roman" w:hAnsi="Times New Roman"/>
          <w:sz w:val="18"/>
          <w:szCs w:val="18"/>
          <w:i w:val="1"/>
          <w:iCs w:val="1"/>
          <w:color w:val="auto"/>
        </w:rPr>
        <w:t>Financial Instruments – Credit Losses (Topic 326): Measurement of Credit Losses on Financial Instruments.</w:t>
      </w:r>
      <w:r>
        <w:rPr>
          <w:rFonts w:ascii="Times New Roman" w:cs="Times New Roman" w:eastAsia="Times New Roman" w:hAnsi="Times New Roman"/>
          <w:sz w:val="18"/>
          <w:szCs w:val="18"/>
          <w:color w:val="auto"/>
        </w:rPr>
        <w:t xml:space="preserve"> This update requires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Since June 2016, the FASB issued clarifying updates to the new standard including changing the effective date for smaller reporting companies. The guidance is effective for fiscal years beginning after December 15, 2022, and interim periods within those fiscal years, with early adoption permitted. The Company adopted this ASU on January 1, 2023, using the modified retrospective approach and it did not have a material impact </w:t>
      </w:r>
      <w:r>
        <w:rPr>
          <w:rFonts w:ascii="Times New Roman" w:cs="Times New Roman" w:eastAsia="Times New Roman" w:hAnsi="Times New Roman"/>
          <w:sz w:val="18"/>
          <w:szCs w:val="18"/>
          <w:color w:val="222222"/>
        </w:rPr>
        <w:t xml:space="preserve">on its consolidated financial statements; see </w:t>
      </w:r>
      <w:r>
        <w:rPr>
          <w:rFonts w:ascii="Times New Roman" w:cs="Times New Roman" w:eastAsia="Times New Roman" w:hAnsi="Times New Roman"/>
          <w:sz w:val="18"/>
          <w:szCs w:val="18"/>
          <w:u w:val="single" w:color="auto"/>
          <w:color w:val="0000FF"/>
        </w:rPr>
        <w:t>Note 3 – Financial Instruments and Accounts Receivable, Net</w:t>
      </w:r>
      <w:r>
        <w:rPr>
          <w:rFonts w:ascii="Times New Roman" w:cs="Times New Roman" w:eastAsia="Times New Roman" w:hAnsi="Times New Roman"/>
          <w:sz w:val="18"/>
          <w:szCs w:val="18"/>
          <w:color w:val="222222"/>
        </w:rPr>
        <w:t xml:space="preserve"> for additional information.</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New Accounting Pronouncements. </w:t>
      </w:r>
      <w:r>
        <w:rPr>
          <w:rFonts w:ascii="Times New Roman" w:cs="Times New Roman" w:eastAsia="Times New Roman" w:hAnsi="Times New Roman"/>
          <w:sz w:val="18"/>
          <w:szCs w:val="18"/>
          <w:color w:val="auto"/>
        </w:rPr>
        <w:t>The FASB issued the following accounting pronouncements and guidance, which may be applicable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has not yet become effective.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22222"/>
        </w:rPr>
        <w:t>In November 2023, the FASB issued ASU 2023-07</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22222"/>
        </w:rPr>
        <w:t xml:space="preserve"> </w:t>
      </w:r>
      <w:r>
        <w:rPr>
          <w:rFonts w:ascii="Times New Roman" w:cs="Times New Roman" w:eastAsia="Times New Roman" w:hAnsi="Times New Roman"/>
          <w:sz w:val="17"/>
          <w:szCs w:val="17"/>
          <w:i w:val="1"/>
          <w:iCs w:val="1"/>
          <w:color w:val="000000"/>
        </w:rPr>
        <w:t>Segment Reporting (Topic 280): Improvements to Reportable Segment Disclosures.</w:t>
      </w:r>
      <w:r>
        <w:rPr>
          <w:rFonts w:ascii="Times New Roman" w:cs="Times New Roman" w:eastAsia="Times New Roman" w:hAnsi="Times New Roman"/>
          <w:sz w:val="17"/>
          <w:szCs w:val="17"/>
          <w:color w:val="222222"/>
        </w:rPr>
        <w:t xml:space="preserve"> </w:t>
      </w:r>
      <w:r>
        <w:rPr>
          <w:rFonts w:ascii="Times New Roman" w:cs="Times New Roman" w:eastAsia="Times New Roman" w:hAnsi="Times New Roman"/>
          <w:sz w:val="17"/>
          <w:szCs w:val="17"/>
          <w:color w:val="000000"/>
        </w:rPr>
        <w:t>This update requires</w:t>
      </w:r>
    </w:p>
    <w:p>
      <w:pPr>
        <w:spacing w:after="0" w:line="2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 entity to disclose, on an annual and interim basis, significant segment expenses. Public entities with a single reportable segment are required to apply the disclosure requirements in ASU 2023-07, as well as all existing segment disclosures in ASC 280. The guidance is effective retrospectively for annual periods beginning after December 15, 2023, and for interim periods beginning after December 15, 2024, with early adoption permitted. The Company is currently evaluating the impact of the adoption on its financial statement disclosures.</w:t>
      </w:r>
    </w:p>
    <w:p>
      <w:pPr>
        <w:spacing w:after="0" w:line="15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222222"/>
        </w:rPr>
        <w:t xml:space="preserve">In December 2023, the FASB issued ASU 2023-09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i w:val="1"/>
          <w:iCs w:val="1"/>
          <w:color w:val="000000"/>
        </w:rPr>
        <w:t>Income Taxes (Topic 740): Improvements to Income Tax Disclosures.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This update requires an entity to</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disclose specific categories in the rate reconciliation and provide additional information for reconciling items that meet a quantitative threshold. Additionally, the guidance requires an entity to disclose annual income taxes paid (net of refunds received) disaggregated by federal (national), state and foreign taxes and disaggregate the information by jurisdiction based on a quantitative threshold. The guidance also requires an entity to disclose income tax expense (benefit) disaggregated by federal (national), state and foreign. The guidance is effective for annual periods beginning after December 15, 2024, with early adoption permitted. The amendments should be applied on a prospective basis although retrospective application is permitted. The Company is currently evaluating the impact of the adoption on its financial statement disclosures.</w:t>
      </w:r>
    </w:p>
    <w:p>
      <w:pPr>
        <w:spacing w:after="0" w:line="200" w:lineRule="exact"/>
        <w:rPr>
          <w:sz w:val="20"/>
          <w:szCs w:val="20"/>
          <w:color w:val="auto"/>
        </w:rPr>
      </w:pPr>
    </w:p>
    <w:p>
      <w:pPr>
        <w:spacing w:after="0" w:line="271" w:lineRule="exact"/>
        <w:rPr>
          <w:sz w:val="20"/>
          <w:szCs w:val="20"/>
          <w:color w:val="auto"/>
        </w:rPr>
      </w:pPr>
    </w:p>
    <w:p>
      <w:pPr>
        <w:ind w:left="5940"/>
        <w:spacing w:after="0"/>
        <w:tabs>
          <w:tab w:leader="none" w:pos="1052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revenue disaggregated by revenue source.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80" w:type="dxa"/>
            <w:vAlign w:val="bottom"/>
            <w:tcBorders>
              <w:top w:val="single" w:sz="8" w:color="auto"/>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13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8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6"/>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874"/>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0" w:type="dxa"/>
            <w:vAlign w:val="bottom"/>
          </w:tcPr>
          <w:p>
            <w:pPr>
              <w:spacing w:after="0"/>
              <w:rPr>
                <w:sz w:val="1"/>
                <w:szCs w:val="1"/>
                <w:color w:val="auto"/>
              </w:rPr>
            </w:pPr>
          </w:p>
        </w:tc>
      </w:tr>
      <w:tr>
        <w:trPr>
          <w:trHeight w:val="186"/>
        </w:trPr>
        <w:tc>
          <w:tcPr>
            <w:tcW w:w="486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Advertising and Marketing Services</w:t>
            </w:r>
          </w:p>
        </w:tc>
        <w:tc>
          <w:tcPr>
            <w:tcW w:w="17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6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Print advertising</w:t>
            </w:r>
          </w:p>
        </w:tc>
        <w:tc>
          <w:tcPr>
            <w:tcW w:w="3120" w:type="dxa"/>
            <w:vAlign w:val="bottom"/>
            <w:gridSpan w:val="2"/>
          </w:tcPr>
          <w:p>
            <w:pPr>
              <w:jc w:val="right"/>
              <w:ind w:right="1196"/>
              <w:spacing w:after="0" w:line="18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35,045</w:t>
            </w:r>
          </w:p>
        </w:tc>
        <w:tc>
          <w:tcPr>
            <w:tcW w:w="1100" w:type="dxa"/>
            <w:vAlign w:val="bottom"/>
            <w:gridSpan w:val="2"/>
          </w:tcPr>
          <w:p>
            <w:pPr>
              <w:jc w:val="right"/>
              <w:ind w:right="632"/>
              <w:spacing w:after="0" w:line="18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44,802</w:t>
            </w:r>
          </w:p>
        </w:tc>
        <w:tc>
          <w:tcPr>
            <w:tcW w:w="0" w:type="dxa"/>
            <w:vAlign w:val="bottom"/>
          </w:tcPr>
          <w:p>
            <w:pPr>
              <w:spacing w:after="0"/>
              <w:rPr>
                <w:sz w:val="1"/>
                <w:szCs w:val="1"/>
                <w:color w:val="auto"/>
              </w:rPr>
            </w:pPr>
          </w:p>
        </w:tc>
      </w:tr>
      <w:tr>
        <w:trPr>
          <w:trHeight w:val="205"/>
        </w:trPr>
        <w:tc>
          <w:tcPr>
            <w:tcW w:w="4860" w:type="dxa"/>
            <w:vAlign w:val="bottom"/>
            <w:tcBorders>
              <w:bottom w:val="single" w:sz="8" w:color="CCEEFF"/>
            </w:tcBorders>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Digital advertising and marketing services</w:t>
            </w:r>
          </w:p>
        </w:tc>
        <w:tc>
          <w:tcPr>
            <w:tcW w:w="17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23,993</w:t>
            </w: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24,865</w:t>
            </w:r>
          </w:p>
        </w:tc>
        <w:tc>
          <w:tcPr>
            <w:tcW w:w="0" w:type="dxa"/>
            <w:vAlign w:val="bottom"/>
          </w:tcPr>
          <w:p>
            <w:pPr>
              <w:spacing w:after="0"/>
              <w:rPr>
                <w:sz w:val="1"/>
                <w:szCs w:val="1"/>
                <w:color w:val="auto"/>
              </w:rPr>
            </w:pPr>
          </w:p>
        </w:tc>
      </w:tr>
      <w:tr>
        <w:trPr>
          <w:trHeight w:val="212"/>
        </w:trPr>
        <w:tc>
          <w:tcPr>
            <w:tcW w:w="4860" w:type="dxa"/>
            <w:vAlign w:val="bottom"/>
            <w:tcBorders>
              <w:bottom w:val="single" w:sz="8" w:color="CCEEFF"/>
            </w:tcBorders>
          </w:tcPr>
          <w:p>
            <w:pPr>
              <w:ind w:left="220"/>
              <w:spacing w:after="0" w:line="172" w:lineRule="exact"/>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196"/>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59,038</w:t>
            </w:r>
          </w:p>
        </w:tc>
        <w:tc>
          <w:tcPr>
            <w:tcW w:w="2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632"/>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69,667</w:t>
            </w:r>
          </w:p>
        </w:tc>
        <w:tc>
          <w:tcPr>
            <w:tcW w:w="0" w:type="dxa"/>
            <w:vAlign w:val="bottom"/>
          </w:tcPr>
          <w:p>
            <w:pPr>
              <w:spacing w:after="0"/>
              <w:rPr>
                <w:sz w:val="1"/>
                <w:szCs w:val="1"/>
                <w:color w:val="auto"/>
              </w:rPr>
            </w:pPr>
          </w:p>
        </w:tc>
      </w:tr>
      <w:tr>
        <w:trPr>
          <w:trHeight w:val="165"/>
        </w:trPr>
        <w:tc>
          <w:tcPr>
            <w:tcW w:w="48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Circulation</w:t>
            </w:r>
          </w:p>
        </w:tc>
        <w:tc>
          <w:tcPr>
            <w:tcW w:w="17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6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Print circulation</w:t>
            </w:r>
          </w:p>
        </w:tc>
        <w:tc>
          <w:tcPr>
            <w:tcW w:w="3120" w:type="dxa"/>
            <w:vAlign w:val="bottom"/>
            <w:gridSpan w:val="2"/>
            <w:shd w:val="clear" w:color="auto" w:fill="CCEEFF"/>
          </w:tcPr>
          <w:p>
            <w:pPr>
              <w:jc w:val="right"/>
              <w:ind w:right="1196"/>
              <w:spacing w:after="0" w:line="18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49,034</w:t>
            </w:r>
          </w:p>
        </w:tc>
        <w:tc>
          <w:tcPr>
            <w:tcW w:w="1100" w:type="dxa"/>
            <w:vAlign w:val="bottom"/>
            <w:gridSpan w:val="2"/>
            <w:shd w:val="clear" w:color="auto" w:fill="CCEEFF"/>
          </w:tcPr>
          <w:p>
            <w:pPr>
              <w:jc w:val="right"/>
              <w:ind w:right="632"/>
              <w:spacing w:after="0" w:line="18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52,045</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CCEEFF"/>
            </w:tcBorders>
          </w:tcPr>
          <w:p>
            <w:pPr>
              <w:ind w:left="100"/>
              <w:spacing w:after="0" w:line="186" w:lineRule="exact"/>
              <w:rPr>
                <w:sz w:val="20"/>
                <w:szCs w:val="20"/>
                <w:color w:val="auto"/>
              </w:rPr>
            </w:pPr>
            <w:r>
              <w:rPr>
                <w:rFonts w:ascii="Times New Roman" w:cs="Times New Roman" w:eastAsia="Times New Roman" w:hAnsi="Times New Roman"/>
                <w:sz w:val="18"/>
                <w:szCs w:val="18"/>
                <w:color w:val="auto"/>
              </w:rPr>
              <w:t>Digital circulation</w:t>
            </w:r>
          </w:p>
        </w:tc>
        <w:tc>
          <w:tcPr>
            <w:tcW w:w="17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16,315</w:t>
            </w:r>
          </w:p>
        </w:tc>
        <w:tc>
          <w:tcPr>
            <w:tcW w:w="2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13,146</w:t>
            </w:r>
          </w:p>
        </w:tc>
        <w:tc>
          <w:tcPr>
            <w:tcW w:w="0" w:type="dxa"/>
            <w:vAlign w:val="bottom"/>
          </w:tcPr>
          <w:p>
            <w:pPr>
              <w:spacing w:after="0"/>
              <w:rPr>
                <w:sz w:val="1"/>
                <w:szCs w:val="1"/>
                <w:color w:val="auto"/>
              </w:rPr>
            </w:pPr>
          </w:p>
        </w:tc>
      </w:tr>
      <w:tr>
        <w:trPr>
          <w:trHeight w:val="185"/>
        </w:trPr>
        <w:tc>
          <w:tcPr>
            <w:tcW w:w="4860" w:type="dxa"/>
            <w:vAlign w:val="bottom"/>
            <w:tcBorders>
              <w:bottom w:val="single" w:sz="8" w:color="CCEEFF"/>
            </w:tcBorders>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196"/>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65,349</w:t>
            </w:r>
          </w:p>
        </w:tc>
        <w:tc>
          <w:tcPr>
            <w:tcW w:w="2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32"/>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65,191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6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Printing, Distribution and Other</w:t>
            </w:r>
          </w:p>
        </w:tc>
        <w:tc>
          <w:tcPr>
            <w:tcW w:w="3120" w:type="dxa"/>
            <w:vAlign w:val="bottom"/>
            <w:gridSpan w:val="2"/>
            <w:shd w:val="clear" w:color="auto" w:fill="CCEEFF"/>
          </w:tcPr>
          <w:p>
            <w:pPr>
              <w:jc w:val="right"/>
              <w:ind w:right="1196"/>
              <w:spacing w:after="0" w:line="18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15,309</w:t>
            </w:r>
          </w:p>
        </w:tc>
        <w:tc>
          <w:tcPr>
            <w:tcW w:w="1100" w:type="dxa"/>
            <w:vAlign w:val="bottom"/>
            <w:gridSpan w:val="2"/>
            <w:shd w:val="clear" w:color="auto" w:fill="CCEEFF"/>
          </w:tcPr>
          <w:p>
            <w:pPr>
              <w:jc w:val="right"/>
              <w:ind w:right="632"/>
              <w:spacing w:after="0" w:line="18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15,793</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60" w:type="dxa"/>
            <w:vAlign w:val="bottom"/>
            <w:tcBorders>
              <w:bottom w:val="single" w:sz="8" w:color="CCEEFF"/>
            </w:tcBorders>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17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196"/>
              <w:spacing w:after="0" w:line="18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139,696</w:t>
            </w:r>
          </w:p>
        </w:tc>
        <w:tc>
          <w:tcPr>
            <w:tcW w:w="2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32"/>
              <w:spacing w:after="0" w:line="18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150,651</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Advertising and Marketing Services</w:t>
            </w:r>
          </w:p>
        </w:tc>
        <w:tc>
          <w:tcPr>
            <w:tcW w:w="1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86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Advertising and marketing services revenue is recognized when an ad or service is complete and delivered based on the contract price. Payment is typically received within 30 to 60 days after the customer is billed. Longer-term contracts often include multiple performance obligations, digital and other forms of advertising, and a single performance obligation containing a bundle of services that are not distinct but provided to maximize a customer’s marketing plan. When the Company has a longer-term contract, revenue is recognized over time as the ads or services are delivered. For contracts with over time revenue recognition the company is providing a series of services and recognizes revenue by 1) using a time-based method of measuring progress of delivery over time, or 2) as each distinct performance obligation (typically ads or impressions) are delivered on a monthly basis. In addition, certain digital advertising revenue related to website access is recognized over time, based on the customers’ monthly rate. The Company typically extends credit to advertising and marketing services customers, although for certain advertising campaigns the customer may pay in advance.</w:t>
      </w:r>
    </w:p>
    <w:p>
      <w:pPr>
        <w:spacing w:after="0" w:line="143" w:lineRule="exact"/>
        <w:rPr>
          <w:sz w:val="20"/>
          <w:szCs w:val="20"/>
          <w:color w:val="auto"/>
        </w:rPr>
      </w:pPr>
    </w:p>
    <w:p>
      <w:pPr>
        <w:ind w:right="500"/>
        <w:spacing w:after="0" w:line="236" w:lineRule="auto"/>
        <w:rPr>
          <w:sz w:val="20"/>
          <w:szCs w:val="20"/>
          <w:color w:val="auto"/>
        </w:rPr>
      </w:pPr>
      <w:r>
        <w:rPr>
          <w:rFonts w:ascii="Times New Roman" w:cs="Times New Roman" w:eastAsia="Times New Roman" w:hAnsi="Times New Roman"/>
          <w:sz w:val="18"/>
          <w:szCs w:val="18"/>
          <w:color w:val="auto"/>
        </w:rPr>
        <w:t>Print advertising is primarily comprised of display and classified advertising revenue. Display revenue results from sales of advertising space within the Company’s core newspaper to local, regional or national businesses with local operations, affiliates or resellers. Classified revenue, which includes automotive, real estate, employment, obituaries and other, results from sales of advertising space in the classified and other sections of the Company’s newspaper.</w:t>
      </w:r>
    </w:p>
    <w:p>
      <w:pPr>
        <w:spacing w:after="0" w:line="14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The Company’s agreement allowing it to distribute preprinted advertisements through the mail or through third-party distributors to households in targeted areas was not renewed and ended August 31, 2023. As a result of the end of the distribution agreement whose weekly shared mail coupons and home delivery inserts supported the Company’s niche publications, the Company decided to stop print-only editions of its niche publications, </w:t>
      </w:r>
      <w:r>
        <w:rPr>
          <w:rFonts w:ascii="Times New Roman" w:cs="Times New Roman" w:eastAsia="Times New Roman" w:hAnsi="Times New Roman"/>
          <w:sz w:val="18"/>
          <w:szCs w:val="18"/>
          <w:i w:val="1"/>
          <w:iCs w:val="1"/>
          <w:color w:val="auto"/>
        </w:rPr>
        <w:t>Al Dia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Briefing</w:t>
      </w:r>
      <w:r>
        <w:rPr>
          <w:rFonts w:ascii="Times New Roman" w:cs="Times New Roman" w:eastAsia="Times New Roman" w:hAnsi="Times New Roman"/>
          <w:sz w:val="18"/>
          <w:szCs w:val="18"/>
          <w:color w:val="auto"/>
        </w:rPr>
        <w:t xml:space="preserve"> after August 30, 2023. </w:t>
      </w:r>
      <w:r>
        <w:rPr>
          <w:rFonts w:ascii="Times New Roman" w:cs="Times New Roman" w:eastAsia="Times New Roman" w:hAnsi="Times New Roman"/>
          <w:sz w:val="18"/>
          <w:szCs w:val="18"/>
          <w:i w:val="1"/>
          <w:iCs w:val="1"/>
          <w:color w:val="auto"/>
        </w:rPr>
        <w:t>Al Dia</w:t>
      </w:r>
      <w:r>
        <w:rPr>
          <w:rFonts w:ascii="Times New Roman" w:cs="Times New Roman" w:eastAsia="Times New Roman" w:hAnsi="Times New Roman"/>
          <w:sz w:val="18"/>
          <w:szCs w:val="18"/>
          <w:color w:val="auto"/>
        </w:rPr>
        <w:t xml:space="preserve"> continues as a digital-only product that publishes online daily, as news develops, and in a weekly ePaper edition available online. </w:t>
      </w:r>
      <w:r>
        <w:rPr>
          <w:rFonts w:ascii="Times New Roman" w:cs="Times New Roman" w:eastAsia="Times New Roman" w:hAnsi="Times New Roman"/>
          <w:sz w:val="18"/>
          <w:szCs w:val="18"/>
          <w:i w:val="1"/>
          <w:iCs w:val="1"/>
          <w:color w:val="auto"/>
        </w:rPr>
        <w:t xml:space="preserve">Briefing </w:t>
      </w:r>
      <w:r>
        <w:rPr>
          <w:rFonts w:ascii="Times New Roman" w:cs="Times New Roman" w:eastAsia="Times New Roman" w:hAnsi="Times New Roman"/>
          <w:sz w:val="18"/>
          <w:szCs w:val="18"/>
          <w:color w:val="auto"/>
        </w:rPr>
        <w:t>was discontinued as a weekly newspaper, and the brand was retired.</w:t>
      </w:r>
    </w:p>
    <w:p>
      <w:pPr>
        <w:spacing w:after="0" w:line="15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Digital advertising and marketing services revenue consists of strategic marketing services, consulting, branding, paid media strategy and management, creative services, search optimization, direct mail, the sale of promotional materials, and subscriptions to the Company’s multi-channel marketing solutions cloud-based software and services. In addition, it includes digital sales of banner, classified and native advertisements on the Company’s news websites, social media platforms and mobile apps, as well as targeted and multi-channel (programmatic) advertising placed on third-party platforms.</w:t>
      </w:r>
    </w:p>
    <w:p>
      <w:pPr>
        <w:spacing w:after="0" w:line="15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For ads placed on certain third-party platforms, the Company must evaluate and use judgment to determine whether it is acting as the principal, where revenue is reported on a gross basis, or acting as the agent, where revenue is reported on a net basis. Generally, the Company reports advertising revenue for ads placed on third-party platforms on a net basis, meaning the amount recorded to revenue is the amount billed to the customer net of amounts paid to the publisher of the third-party platforms. The Company is acting as the agent because the publisher controls the advertising inventory. The Company will record certain arrangements gross when it controls the inventory or it has latitude in establishing price or it determines that advertising campaign management, targeting or other actions provide significant value added service to the customer.</w:t>
      </w:r>
    </w:p>
    <w:p>
      <w:pPr>
        <w:spacing w:after="0" w:line="271" w:lineRule="exact"/>
        <w:rPr>
          <w:sz w:val="20"/>
          <w:szCs w:val="20"/>
          <w:color w:val="auto"/>
        </w:rPr>
      </w:pPr>
    </w:p>
    <w:p>
      <w:pPr>
        <w:jc w:val="right"/>
        <w:spacing w:after="0"/>
        <w:tabs>
          <w:tab w:leader="none" w:pos="6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4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Barter advertising transactions are recognized at estimated fair value based on the negotiated contract price and the range of prices for similar advertising from customers unrelated to the barter transaction. The Company expenses barter costs as incurred, which is independent from the timing of revenue recognition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Circulation</w:t>
      </w:r>
    </w:p>
    <w:p>
      <w:pPr>
        <w:spacing w:after="0" w:line="1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Print circulation revenue is generated primarily by selling home delivery subscriptions, including premium publications, and from single copy sales to non-subscribers. Home delivery revenue is recognized over the subscription period based on the days of actual delivery over the total subscription days and single copy revenue is recognized at a point in time when the paper is purchased. Revenue is directly reduced for any non-payment for the grace period of home delivery subscriptions where the Company recorded revenue for newspapers delivered after a subscription expired.</w:t>
      </w:r>
    </w:p>
    <w:p>
      <w:pPr>
        <w:spacing w:after="0" w:line="15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Digital circulation revenue is generated by digital-only subscriptions and is recognized over the subscription period based on daily or monthly access to the content in the subscription period.</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 of circulation fees is typically received in advance and deferred over the subscription period. There is little judgment required for valuation or timing of circulation revenue recognition.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Printing, Distribution and Other</w:t>
      </w:r>
    </w:p>
    <w:p>
      <w:pPr>
        <w:spacing w:after="0" w:line="17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Printing, distribution and other revenue is primarily generated from printing and distribution of other newspapers. Printing, distribution and other revenue is recognized at a point in time when the product or service is delivered, which requires little judgment to determine. The Company typically extends credit to printing and distribution customers.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17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Deferred revenue is recorded when cash payments are received in advance of the Company’s performance, including amounts which are refundable. The Company’s primary sources of deferred revenue are from circulation subscriptions and advertising paid in advance of the service provided. These up-front payments are recorded upon receipt as contract liabilities in the Consolidated Balance Sheets and the revenue is recognized when the Company’s obligations under the terms of the contract are satisfied. In the year ended December 31, 2023, the Company recognized $9,028 of revenue that was included in the contract liabilities balance as of December 31, 2022. The Company typically recognizes deferred revenue within 1 to 12 months.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Practical Expedients and Exemptions</w:t>
      </w:r>
    </w:p>
    <w:p>
      <w:pPr>
        <w:spacing w:after="0" w:line="1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 generally expenses sales commissions and circulation acquisition costs when incurred because the amortization period would have been one year or less. These costs are recorded within employee compensation and benefits expense and other production, distribution and operating costs expense, respectively.</w:t>
      </w:r>
    </w:p>
    <w:p>
      <w:pPr>
        <w:spacing w:after="0" w:line="1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for contracts with an original expected length of one year or less and contracts for which revenue is recognized at the amount invoiced for services performed.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3: Financial Instruments and Accounts Receivable, Net</w:t>
      </w:r>
    </w:p>
    <w:p>
      <w:pPr>
        <w:spacing w:after="0" w:line="17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Short-Term Investments. </w:t>
      </w:r>
      <w:r>
        <w:rPr>
          <w:rFonts w:ascii="Times New Roman" w:cs="Times New Roman" w:eastAsia="Times New Roman" w:hAnsi="Times New Roman"/>
          <w:sz w:val="18"/>
          <w:szCs w:val="18"/>
          <w:color w:val="auto"/>
        </w:rPr>
        <w:t>In 2023, the Company invested $10,500 in CD’s with original maturities of more than 90 days but one year or less, included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short-term investments in the Consolidated Balance Sheet. These investments are classified as held-to-maturity and are valued at amortized cost, which approximates fair value. These investments are considered Level 2 investments. In 2023, the Company recorded $401 of interest income related to the CD’s, included in other income (loss), net in the Consolidated Statement of Operations.</w:t>
      </w:r>
    </w:p>
    <w:p>
      <w:pPr>
        <w:spacing w:after="0" w:line="15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Accounts Receivable, Net. </w:t>
      </w:r>
      <w:r>
        <w:rPr>
          <w:rFonts w:ascii="Times New Roman" w:cs="Times New Roman" w:eastAsia="Times New Roman" w:hAnsi="Times New Roman"/>
          <w:sz w:val="18"/>
          <w:szCs w:val="18"/>
          <w:color w:val="auto"/>
        </w:rPr>
        <w:t>Accounts receivable are reported net of the allowance for credit losses calculated based on customer category. For example, trade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receivables for advertising customers are evaluated separately from trade receivables from single copy sales. For all trade receivables, the reserve percentage considers the Company’s historical loss experience and is applied to each customer category based on aging. In addition, each category has specific reserves for at risk accounts that vary based on the nature of the underlying trade receivables. The calculation of the allowance considers current economic, industry and customer-specific conditions such as high-risk accounts, bankruptcies and other aging specific reserves. The collectability of the Company’s trade receivables depends on a variety of factors, including trends in local, regional or national economic conditions that affect its customers’ ability to pay. Accounts are written-off after all collection efforts fail; generally, after one year has expired. Expense for such uncollectible amounts is included in other production, distribution and operating costs. Credit terms are customary.</w:t>
      </w:r>
    </w:p>
    <w:p>
      <w:pPr>
        <w:spacing w:after="0" w:line="200" w:lineRule="exact"/>
        <w:rPr>
          <w:sz w:val="20"/>
          <w:szCs w:val="20"/>
          <w:color w:val="auto"/>
        </w:rPr>
      </w:pPr>
    </w:p>
    <w:p>
      <w:pPr>
        <w:spacing w:after="0" w:line="275" w:lineRule="exact"/>
        <w:rPr>
          <w:sz w:val="20"/>
          <w:szCs w:val="20"/>
          <w:color w:val="auto"/>
        </w:rPr>
      </w:pPr>
    </w:p>
    <w:p>
      <w:pPr>
        <w:jc w:val="right"/>
        <w:spacing w:after="0"/>
        <w:tabs>
          <w:tab w:leader="none" w:pos="6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213995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changes in the allowance for credit losses for the year ended December 31, 2023.</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80" w:type="dxa"/>
            <w:vAlign w:val="bottom"/>
            <w:tcBorders>
              <w:top w:val="single" w:sz="8" w:color="auto"/>
            </w:tcBorders>
            <w:gridSpan w:val="2"/>
            <w:shd w:val="clear" w:color="auto" w:fill="CCEEFF"/>
          </w:tcPr>
          <w:p>
            <w:pPr>
              <w:jc w:val="right"/>
              <w:ind w:right="64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199"/>
        </w:trPr>
        <w:tc>
          <w:tcPr>
            <w:tcW w:w="9400" w:type="dxa"/>
            <w:vAlign w:val="bottom"/>
          </w:tcPr>
          <w:p>
            <w:pPr>
              <w:ind w:left="100"/>
              <w:spacing w:after="0" w:line="199" w:lineRule="exact"/>
              <w:rPr>
                <w:sz w:val="20"/>
                <w:szCs w:val="20"/>
                <w:color w:val="auto"/>
              </w:rPr>
            </w:pPr>
            <w:r>
              <w:rPr>
                <w:rFonts w:ascii="Times New Roman" w:cs="Times New Roman" w:eastAsia="Times New Roman" w:hAnsi="Times New Roman"/>
                <w:sz w:val="18"/>
                <w:szCs w:val="18"/>
                <w:color w:val="auto"/>
              </w:rPr>
              <w:t>Current period benefit</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(65)</w:t>
            </w:r>
          </w:p>
        </w:tc>
      </w:tr>
      <w:tr>
        <w:trPr>
          <w:trHeight w:val="199"/>
        </w:trPr>
        <w:tc>
          <w:tcPr>
            <w:tcW w:w="9400" w:type="dxa"/>
            <w:vAlign w:val="bottom"/>
            <w:shd w:val="clear" w:color="auto" w:fill="CCEEFF"/>
          </w:tcPr>
          <w:p>
            <w:pPr>
              <w:ind w:left="100"/>
              <w:spacing w:after="0" w:line="199" w:lineRule="exact"/>
              <w:rPr>
                <w:sz w:val="20"/>
                <w:szCs w:val="20"/>
                <w:color w:val="auto"/>
              </w:rPr>
            </w:pPr>
            <w:r>
              <w:rPr>
                <w:rFonts w:ascii="Times New Roman" w:cs="Times New Roman" w:eastAsia="Times New Roman" w:hAnsi="Times New Roman"/>
                <w:sz w:val="18"/>
                <w:szCs w:val="18"/>
                <w:color w:val="auto"/>
              </w:rPr>
              <w:t>Write-offs charged against the allowance</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(220)</w:t>
            </w:r>
          </w:p>
        </w:tc>
      </w:tr>
      <w:tr>
        <w:trPr>
          <w:trHeight w:val="199"/>
        </w:trPr>
        <w:tc>
          <w:tcPr>
            <w:tcW w:w="9400" w:type="dxa"/>
            <w:vAlign w:val="bottom"/>
          </w:tcPr>
          <w:p>
            <w:pPr>
              <w:ind w:left="100"/>
              <w:spacing w:after="0" w:line="199" w:lineRule="exact"/>
              <w:rPr>
                <w:sz w:val="20"/>
                <w:szCs w:val="20"/>
                <w:color w:val="auto"/>
              </w:rPr>
            </w:pPr>
            <w:r>
              <w:rPr>
                <w:rFonts w:ascii="Times New Roman" w:cs="Times New Roman" w:eastAsia="Times New Roman" w:hAnsi="Times New Roman"/>
                <w:sz w:val="18"/>
                <w:szCs w:val="18"/>
                <w:color w:val="auto"/>
              </w:rPr>
              <w:t>Recoveries of amounts previously written-off</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22</w:t>
            </w:r>
          </w:p>
        </w:tc>
      </w:tr>
      <w:tr>
        <w:trPr>
          <w:trHeight w:val="219"/>
        </w:trPr>
        <w:tc>
          <w:tcPr>
            <w:tcW w:w="9400" w:type="dxa"/>
            <w:vAlign w:val="bottom"/>
            <w:tcBorders>
              <w:bottom w:val="single" w:sz="8" w:color="CCEEFF"/>
            </w:tcBorders>
            <w:shd w:val="clear" w:color="auto" w:fill="CCEEFF"/>
          </w:tcPr>
          <w:p>
            <w:pPr>
              <w:ind w:left="100"/>
              <w:spacing w:after="0" w:line="199" w:lineRule="exact"/>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(20)</w:t>
            </w:r>
          </w:p>
        </w:tc>
      </w:tr>
      <w:tr>
        <w:trPr>
          <w:trHeight w:val="185"/>
        </w:trPr>
        <w:tc>
          <w:tcPr>
            <w:tcW w:w="94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207</w:t>
            </w: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In 2023 and 2022, the Company recorded $(65) and $307 of bad debt expense (benefit) which is included in other production, distribution and operating costs in the Consolidated Statements of Operations. The reduction in required reserves was primarily due to a lower volume of accounts receivable and payments received for fully reserved balances in 2023. No one-time adjustments were recorded as a result of adopting the new guidance on credit losses.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has various operating leases primarily for office space and other distribution centers, some of which include escalating lease payments and options to extend or terminate the lease. The Company’s leases have remaining terms of less than 1 year to 10 years.</w:t>
      </w:r>
    </w:p>
    <w:p>
      <w:pPr>
        <w:spacing w:after="0" w:line="15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 has various subleases with distributors, for distribution center space, with varying remaining lease terms of less than one year to two years and are cancellable with notice by either party. In 2022, the Company terminated the lease and sublease agreements for the office space of the Denton Publishing Company, resulting in a right-of-use asset impairment of $102. Sublease income is included in printing, distribution and other revenue in the Consolidated Statements of Operations. As of December 31, 2023, sublease income is expected to approximate $320 in 2024 and $30 in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did not have any significant operating leases that have not yet commenced.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supplemental Consolidated Balance Sheet information for the Company’s leases.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40" w:type="dxa"/>
            <w:vAlign w:val="bottom"/>
          </w:tcPr>
          <w:p>
            <w:pPr>
              <w:spacing w:after="0"/>
              <w:rPr>
                <w:sz w:val="19"/>
                <w:szCs w:val="19"/>
                <w:color w:val="auto"/>
              </w:rPr>
            </w:pPr>
          </w:p>
        </w:tc>
        <w:tc>
          <w:tcPr>
            <w:tcW w:w="26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December 31, 2023</w:t>
            </w:r>
          </w:p>
        </w:tc>
        <w:tc>
          <w:tcPr>
            <w:tcW w:w="2180" w:type="dxa"/>
            <w:vAlign w:val="bottom"/>
            <w:tcBorders>
              <w:top w:val="single" w:sz="8" w:color="auto"/>
            </w:tcBorders>
            <w:gridSpan w:val="2"/>
          </w:tcPr>
          <w:p>
            <w:pPr>
              <w:jc w:val="right"/>
              <w:ind w:right="392"/>
              <w:spacing w:after="0"/>
              <w:rPr>
                <w:sz w:val="20"/>
                <w:szCs w:val="20"/>
                <w:color w:val="auto"/>
              </w:rPr>
            </w:pPr>
            <w:r>
              <w:rPr>
                <w:rFonts w:ascii="Times New Roman" w:cs="Times New Roman" w:eastAsia="Times New Roman" w:hAnsi="Times New Roman"/>
                <w:sz w:val="14"/>
                <w:szCs w:val="14"/>
                <w:b w:val="1"/>
                <w:bCs w:val="1"/>
                <w:i w:val="1"/>
                <w:iCs w:val="1"/>
                <w:color w:val="auto"/>
              </w:rPr>
              <w:t>December 31, 2022</w:t>
            </w:r>
          </w:p>
        </w:tc>
        <w:tc>
          <w:tcPr>
            <w:tcW w:w="0" w:type="dxa"/>
            <w:vAlign w:val="bottom"/>
          </w:tcPr>
          <w:p>
            <w:pPr>
              <w:spacing w:after="0"/>
              <w:rPr>
                <w:sz w:val="1"/>
                <w:szCs w:val="1"/>
                <w:color w:val="auto"/>
              </w:rPr>
            </w:pPr>
          </w:p>
        </w:tc>
      </w:tr>
      <w:tr>
        <w:trPr>
          <w:trHeight w:val="186"/>
        </w:trPr>
        <w:tc>
          <w:tcPr>
            <w:tcW w:w="4040" w:type="dxa"/>
            <w:vAlign w:val="bottom"/>
            <w:tcBorders>
              <w:top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2600" w:type="dxa"/>
            <w:vAlign w:val="bottom"/>
          </w:tcPr>
          <w:p>
            <w:pPr>
              <w:ind w:left="500"/>
              <w:spacing w:after="0" w:line="167" w:lineRule="exact"/>
              <w:rPr>
                <w:sz w:val="20"/>
                <w:szCs w:val="20"/>
                <w:color w:val="auto"/>
              </w:rPr>
            </w:pPr>
            <w:r>
              <w:rPr>
                <w:rFonts w:ascii="Times New Roman" w:cs="Times New Roman" w:eastAsia="Times New Roman" w:hAnsi="Times New Roman"/>
                <w:sz w:val="18"/>
                <w:szCs w:val="18"/>
                <w:color w:val="auto"/>
              </w:rPr>
              <w:t>Operating lease right-of-use</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w:t>
            </w:r>
          </w:p>
        </w:tc>
        <w:tc>
          <w:tcPr>
            <w:tcW w:w="2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assets</w:t>
            </w:r>
          </w:p>
        </w:tc>
        <w:tc>
          <w:tcPr>
            <w:tcW w:w="460" w:type="dxa"/>
            <w:vAlign w:val="bottom"/>
            <w:gridSpan w:val="2"/>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16,141</w:t>
            </w:r>
          </w:p>
        </w:tc>
        <w:tc>
          <w:tcPr>
            <w:tcW w:w="120" w:type="dxa"/>
            <w:vAlign w:val="bottom"/>
          </w:tcPr>
          <w:p>
            <w:pPr>
              <w:spacing w:after="0"/>
              <w:rPr>
                <w:sz w:val="18"/>
                <w:szCs w:val="18"/>
                <w:color w:val="auto"/>
              </w:rPr>
            </w:pPr>
          </w:p>
        </w:tc>
        <w:tc>
          <w:tcPr>
            <w:tcW w:w="1320" w:type="dxa"/>
            <w:vAlign w:val="bottom"/>
          </w:tcPr>
          <w:p>
            <w:pPr>
              <w:jc w:val="right"/>
              <w:ind w:right="116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0" w:type="dxa"/>
            <w:vAlign w:val="bottom"/>
          </w:tcPr>
          <w:p>
            <w:pPr>
              <w:spacing w:after="0"/>
              <w:rPr>
                <w:sz w:val="1"/>
                <w:szCs w:val="1"/>
                <w:color w:val="auto"/>
              </w:rPr>
            </w:pPr>
          </w:p>
        </w:tc>
      </w:tr>
      <w:tr>
        <w:trPr>
          <w:trHeight w:val="185"/>
        </w:trPr>
        <w:tc>
          <w:tcPr>
            <w:tcW w:w="404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4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4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Operating</w:t>
            </w:r>
          </w:p>
        </w:tc>
        <w:tc>
          <w:tcPr>
            <w:tcW w:w="2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40" w:type="dxa"/>
            <w:vAlign w:val="bottom"/>
          </w:tcPr>
          <w:p>
            <w:pPr>
              <w:ind w:left="320"/>
              <w:spacing w:after="0" w:line="186" w:lineRule="exact"/>
              <w:rPr>
                <w:sz w:val="20"/>
                <w:szCs w:val="20"/>
                <w:color w:val="auto"/>
              </w:rPr>
            </w:pPr>
            <w:r>
              <w:rPr>
                <w:rFonts w:ascii="Times New Roman" w:cs="Times New Roman" w:eastAsia="Times New Roman" w:hAnsi="Times New Roman"/>
                <w:sz w:val="18"/>
                <w:szCs w:val="18"/>
                <w:color w:val="auto"/>
              </w:rPr>
              <w:t>Current</w:t>
            </w:r>
          </w:p>
        </w:tc>
        <w:tc>
          <w:tcPr>
            <w:tcW w:w="2600" w:type="dxa"/>
            <w:vAlign w:val="bottom"/>
          </w:tcPr>
          <w:p>
            <w:pPr>
              <w:ind w:left="500"/>
              <w:spacing w:after="0" w:line="186" w:lineRule="exact"/>
              <w:rPr>
                <w:sz w:val="20"/>
                <w:szCs w:val="20"/>
                <w:color w:val="auto"/>
              </w:rPr>
            </w:pPr>
            <w:r>
              <w:rPr>
                <w:rFonts w:ascii="Times New Roman" w:cs="Times New Roman" w:eastAsia="Times New Roman" w:hAnsi="Times New Roman"/>
                <w:sz w:val="18"/>
                <w:szCs w:val="18"/>
                <w:color w:val="auto"/>
              </w:rPr>
              <w:t>Other accrued expense</w:t>
            </w:r>
          </w:p>
        </w:tc>
        <w:tc>
          <w:tcPr>
            <w:tcW w:w="460" w:type="dxa"/>
            <w:vAlign w:val="bottom"/>
            <w:gridSpan w:val="2"/>
          </w:tcPr>
          <w:p>
            <w:pPr>
              <w:jc w:val="right"/>
              <w:ind w:right="177"/>
              <w:spacing w:after="0" w:line="186"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1,809</w:t>
            </w:r>
          </w:p>
        </w:tc>
        <w:tc>
          <w:tcPr>
            <w:tcW w:w="120" w:type="dxa"/>
            <w:vAlign w:val="bottom"/>
          </w:tcPr>
          <w:p>
            <w:pPr>
              <w:spacing w:after="0"/>
              <w:rPr>
                <w:sz w:val="16"/>
                <w:szCs w:val="16"/>
                <w:color w:val="auto"/>
              </w:rPr>
            </w:pPr>
          </w:p>
        </w:tc>
        <w:tc>
          <w:tcPr>
            <w:tcW w:w="1320" w:type="dxa"/>
            <w:vAlign w:val="bottom"/>
          </w:tcPr>
          <w:p>
            <w:pPr>
              <w:jc w:val="right"/>
              <w:ind w:right="1160"/>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167"/>
        </w:trPr>
        <w:tc>
          <w:tcPr>
            <w:tcW w:w="4040" w:type="dxa"/>
            <w:vAlign w:val="bottom"/>
            <w:shd w:val="clear" w:color="auto" w:fill="CCEEFF"/>
          </w:tcPr>
          <w:p>
            <w:pPr>
              <w:spacing w:after="0"/>
              <w:rPr>
                <w:sz w:val="14"/>
                <w:szCs w:val="14"/>
                <w:color w:val="auto"/>
              </w:rPr>
            </w:pPr>
          </w:p>
        </w:tc>
        <w:tc>
          <w:tcPr>
            <w:tcW w:w="2600" w:type="dxa"/>
            <w:vAlign w:val="bottom"/>
            <w:shd w:val="clear" w:color="auto" w:fill="CCEEFF"/>
          </w:tcPr>
          <w:p>
            <w:pPr>
              <w:ind w:left="500"/>
              <w:spacing w:after="0" w:line="167" w:lineRule="exact"/>
              <w:rPr>
                <w:sz w:val="20"/>
                <w:szCs w:val="20"/>
                <w:color w:val="auto"/>
              </w:rPr>
            </w:pPr>
            <w:r>
              <w:rPr>
                <w:rFonts w:ascii="Times New Roman" w:cs="Times New Roman" w:eastAsia="Times New Roman" w:hAnsi="Times New Roman"/>
                <w:sz w:val="18"/>
                <w:szCs w:val="18"/>
                <w:color w:val="auto"/>
              </w:rPr>
              <w:t>Long-term operating lease</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16,924</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16,546</w:t>
            </w:r>
          </w:p>
        </w:tc>
        <w:tc>
          <w:tcPr>
            <w:tcW w:w="0" w:type="dxa"/>
            <w:vAlign w:val="bottom"/>
          </w:tcPr>
          <w:p>
            <w:pPr>
              <w:spacing w:after="0"/>
              <w:rPr>
                <w:sz w:val="1"/>
                <w:szCs w:val="1"/>
                <w:color w:val="auto"/>
              </w:rPr>
            </w:pPr>
          </w:p>
        </w:tc>
      </w:tr>
      <w:tr>
        <w:trPr>
          <w:trHeight w:val="224"/>
        </w:trPr>
        <w:tc>
          <w:tcPr>
            <w:tcW w:w="4040" w:type="dxa"/>
            <w:vAlign w:val="bottom"/>
            <w:tcBorders>
              <w:bottom w:val="single" w:sz="8" w:color="CCEEFF"/>
            </w:tcBorders>
            <w:shd w:val="clear" w:color="auto" w:fill="CCEEFF"/>
          </w:tcPr>
          <w:p>
            <w:pPr>
              <w:ind w:left="320"/>
              <w:spacing w:after="0" w:line="204" w:lineRule="exact"/>
              <w:rPr>
                <w:sz w:val="20"/>
                <w:szCs w:val="20"/>
                <w:color w:val="auto"/>
              </w:rPr>
            </w:pPr>
            <w:r>
              <w:rPr>
                <w:rFonts w:ascii="Times New Roman" w:cs="Times New Roman" w:eastAsia="Times New Roman" w:hAnsi="Times New Roman"/>
                <w:sz w:val="18"/>
                <w:szCs w:val="18"/>
                <w:color w:val="auto"/>
              </w:rPr>
              <w:t>Noncurrent</w:t>
            </w:r>
          </w:p>
        </w:tc>
        <w:tc>
          <w:tcPr>
            <w:tcW w:w="2600" w:type="dxa"/>
            <w:vAlign w:val="bottom"/>
            <w:tcBorders>
              <w:bottom w:val="single" w:sz="8" w:color="CCEEFF"/>
            </w:tcBorders>
            <w:shd w:val="clear" w:color="auto" w:fill="CCEEFF"/>
          </w:tcPr>
          <w:p>
            <w:pPr>
              <w:ind w:left="500"/>
              <w:spacing w:after="0" w:line="204" w:lineRule="exact"/>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40" w:type="dxa"/>
            <w:vAlign w:val="bottom"/>
            <w:tcBorders>
              <w:bottom w:val="single" w:sz="8" w:color="CCEEFF"/>
            </w:tcBorders>
          </w:tcPr>
          <w:p>
            <w:pPr>
              <w:ind w:left="420"/>
              <w:spacing w:after="0" w:line="172" w:lineRule="exact"/>
              <w:rPr>
                <w:sz w:val="20"/>
                <w:szCs w:val="20"/>
                <w:color w:val="auto"/>
              </w:rPr>
            </w:pPr>
            <w:r>
              <w:rPr>
                <w:rFonts w:ascii="Times New Roman" w:cs="Times New Roman" w:eastAsia="Times New Roman" w:hAnsi="Times New Roman"/>
                <w:sz w:val="18"/>
                <w:szCs w:val="18"/>
                <w:color w:val="auto"/>
              </w:rPr>
              <w:t>Total lease liabilities</w:t>
            </w:r>
          </w:p>
        </w:tc>
        <w:tc>
          <w:tcPr>
            <w:tcW w:w="2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77"/>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18,733</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160"/>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18,093</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4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Operating leases</w:t>
            </w:r>
          </w:p>
        </w:tc>
        <w:tc>
          <w:tcPr>
            <w:tcW w:w="2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4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85"/>
        </w:trPr>
        <w:tc>
          <w:tcPr>
            <w:tcW w:w="404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Weighted average discount rate (%)</w:t>
            </w:r>
          </w:p>
        </w:tc>
        <w:tc>
          <w:tcPr>
            <w:tcW w:w="2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902"/>
        </w:trPr>
        <w:tc>
          <w:tcPr>
            <w:tcW w:w="4040" w:type="dxa"/>
            <w:vAlign w:val="bottom"/>
          </w:tcPr>
          <w:p>
            <w:pPr>
              <w:spacing w:after="0"/>
              <w:rPr>
                <w:sz w:val="24"/>
                <w:szCs w:val="24"/>
                <w:color w:val="auto"/>
              </w:rPr>
            </w:pPr>
          </w:p>
        </w:tc>
        <w:tc>
          <w:tcPr>
            <w:tcW w:w="6340" w:type="dxa"/>
            <w:vAlign w:val="bottom"/>
            <w:gridSpan w:val="6"/>
          </w:tcPr>
          <w:p>
            <w:pPr>
              <w:ind w:left="1900"/>
              <w:spacing w:after="0"/>
              <w:rPr>
                <w:sz w:val="20"/>
                <w:szCs w:val="20"/>
                <w:color w:val="auto"/>
              </w:rPr>
            </w:pPr>
            <w:r>
              <w:rPr>
                <w:rFonts w:ascii="Times New Roman" w:cs="Times New Roman" w:eastAsia="Times New Roman" w:hAnsi="Times New Roman"/>
                <w:sz w:val="18"/>
                <w:szCs w:val="18"/>
                <w:color w:val="auto"/>
              </w:rPr>
              <w:t>DallasNews Corporation 2023 Annual Report on Form 10-K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 37</w:t>
            </w:r>
          </w:p>
        </w:tc>
        <w:tc>
          <w:tcPr>
            <w:tcW w:w="0" w:type="dxa"/>
            <w:vAlign w:val="bottom"/>
          </w:tcPr>
          <w:p>
            <w:pPr>
              <w:spacing w:after="0"/>
              <w:rPr>
                <w:sz w:val="1"/>
                <w:szCs w:val="1"/>
                <w:color w:val="auto"/>
              </w:rPr>
            </w:pPr>
          </w:p>
        </w:tc>
      </w:tr>
      <w:tr>
        <w:trPr>
          <w:trHeight w:val="337"/>
        </w:trPr>
        <w:tc>
          <w:tcPr>
            <w:tcW w:w="40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158"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The table below sets forth components of lease cost and supplemental cash flow information for the Company’s leases. In the second quarter of 2023, the Company recorded a non-recurring lease cost benefit of $556, reflected in other production, distribution and operating costs in the Consolidated Statement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580" w:type="dxa"/>
            <w:vAlign w:val="bottom"/>
            <w:tcBorders>
              <w:top w:val="single" w:sz="8" w:color="auto"/>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6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177"/>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6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Lease Cost</w:t>
            </w:r>
          </w:p>
        </w:tc>
        <w:tc>
          <w:tcPr>
            <w:tcW w:w="8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68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Operating lease cost</w:t>
            </w:r>
          </w:p>
        </w:tc>
        <w:tc>
          <w:tcPr>
            <w:tcW w:w="2380" w:type="dxa"/>
            <w:vAlign w:val="bottom"/>
            <w:gridSpan w:val="2"/>
          </w:tcPr>
          <w:p>
            <w:pPr>
              <w:jc w:val="right"/>
              <w:ind w:right="1378"/>
              <w:spacing w:after="0" w:line="18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line="186" w:lineRule="exact"/>
              <w:rPr>
                <w:sz w:val="20"/>
                <w:szCs w:val="20"/>
                <w:color w:val="auto"/>
              </w:rPr>
            </w:pPr>
            <w:r>
              <w:rPr>
                <w:rFonts w:ascii="Times New Roman" w:cs="Times New Roman" w:eastAsia="Times New Roman" w:hAnsi="Times New Roman"/>
                <w:sz w:val="18"/>
                <w:szCs w:val="18"/>
                <w:color w:val="auto"/>
              </w:rPr>
              <w:t>3,205</w:t>
            </w:r>
          </w:p>
        </w:tc>
        <w:tc>
          <w:tcPr>
            <w:tcW w:w="200" w:type="dxa"/>
            <w:vAlign w:val="bottom"/>
          </w:tcPr>
          <w:p>
            <w:pPr>
              <w:spacing w:after="0"/>
              <w:rPr>
                <w:sz w:val="16"/>
                <w:szCs w:val="16"/>
                <w:color w:val="auto"/>
              </w:rPr>
            </w:pPr>
          </w:p>
        </w:tc>
        <w:tc>
          <w:tcPr>
            <w:tcW w:w="980" w:type="dxa"/>
            <w:vAlign w:val="bottom"/>
          </w:tcPr>
          <w:p>
            <w:pPr>
              <w:jc w:val="right"/>
              <w:ind w:right="795"/>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4,088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8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Short-term lease cost</w:t>
            </w:r>
          </w:p>
        </w:tc>
        <w:tc>
          <w:tcPr>
            <w:tcW w:w="8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68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Variable lease cost</w:t>
            </w:r>
          </w:p>
        </w:tc>
        <w:tc>
          <w:tcPr>
            <w:tcW w:w="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20" w:type="dxa"/>
            <w:vAlign w:val="bottom"/>
            <w:gridSpan w:val="3"/>
          </w:tcPr>
          <w:p>
            <w:pPr>
              <w:jc w:val="right"/>
              <w:spacing w:after="0" w:line="186" w:lineRule="exact"/>
              <w:rPr>
                <w:sz w:val="20"/>
                <w:szCs w:val="20"/>
                <w:color w:val="auto"/>
              </w:rPr>
            </w:pPr>
            <w:r>
              <w:rPr>
                <w:rFonts w:ascii="Times New Roman" w:cs="Times New Roman" w:eastAsia="Times New Roman" w:hAnsi="Times New Roman"/>
                <w:sz w:val="18"/>
                <w:szCs w:val="18"/>
                <w:color w:val="auto"/>
              </w:rPr>
              <w:t>732</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645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80" w:type="dxa"/>
            <w:vAlign w:val="bottom"/>
            <w:tcBorders>
              <w:bottom w:val="single" w:sz="8" w:color="CCEEFF"/>
            </w:tcBorders>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Sublease income</w:t>
            </w:r>
          </w:p>
        </w:tc>
        <w:tc>
          <w:tcPr>
            <w:tcW w:w="8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3"/>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(811)</w:t>
            </w: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(1,155)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80" w:type="dxa"/>
            <w:vAlign w:val="bottom"/>
            <w:tcBorders>
              <w:bottom w:val="single" w:sz="8" w:color="CCEEFF"/>
            </w:tcBorders>
          </w:tcPr>
          <w:p>
            <w:pPr>
              <w:ind w:left="220"/>
              <w:spacing w:after="0" w:line="172" w:lineRule="exact"/>
              <w:rPr>
                <w:sz w:val="20"/>
                <w:szCs w:val="20"/>
                <w:color w:val="auto"/>
              </w:rPr>
            </w:pPr>
            <w:r>
              <w:rPr>
                <w:rFonts w:ascii="Times New Roman" w:cs="Times New Roman" w:eastAsia="Times New Roman" w:hAnsi="Times New Roman"/>
                <w:sz w:val="18"/>
                <w:szCs w:val="18"/>
                <w:color w:val="auto"/>
              </w:rPr>
              <w:t>Total lease cost</w:t>
            </w:r>
          </w:p>
        </w:tc>
        <w:tc>
          <w:tcPr>
            <w:tcW w:w="8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378"/>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tcPr>
          <w:p>
            <w:pPr>
              <w:jc w:val="right"/>
              <w:spacing w:after="0" w:line="172" w:lineRule="exact"/>
              <w:rPr>
                <w:sz w:val="20"/>
                <w:szCs w:val="20"/>
                <w:color w:val="auto"/>
              </w:rPr>
            </w:pPr>
            <w:r>
              <w:rPr>
                <w:rFonts w:ascii="Times New Roman" w:cs="Times New Roman" w:eastAsia="Times New Roman" w:hAnsi="Times New Roman"/>
                <w:sz w:val="18"/>
                <w:szCs w:val="18"/>
                <w:color w:val="auto"/>
              </w:rPr>
              <w:t>3,189</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795"/>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3,641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68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68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Cash paid for operating leases included in operating activities</w:t>
            </w:r>
          </w:p>
        </w:tc>
        <w:tc>
          <w:tcPr>
            <w:tcW w:w="2380" w:type="dxa"/>
            <w:vAlign w:val="bottom"/>
            <w:gridSpan w:val="2"/>
            <w:shd w:val="clear" w:color="auto" w:fill="CCEEFF"/>
          </w:tcPr>
          <w:p>
            <w:pPr>
              <w:jc w:val="right"/>
              <w:ind w:right="1378"/>
              <w:spacing w:after="0" w:line="18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3,979</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95"/>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4,212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8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table below sets forth the remaining maturities of the Company’s lease liabilities as of December 31, 2023.</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Years Ending December 31,</w:t>
            </w:r>
          </w:p>
        </w:tc>
        <w:tc>
          <w:tcPr>
            <w:tcW w:w="8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2024</w:t>
            </w:r>
          </w:p>
        </w:tc>
        <w:tc>
          <w:tcPr>
            <w:tcW w:w="8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43"/>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3,182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8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2025</w:t>
            </w:r>
          </w:p>
        </w:tc>
        <w:tc>
          <w:tcPr>
            <w:tcW w:w="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3,504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2026</w:t>
            </w:r>
          </w:p>
        </w:tc>
        <w:tc>
          <w:tcPr>
            <w:tcW w:w="8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2,732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68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2027</w:t>
            </w:r>
          </w:p>
        </w:tc>
        <w:tc>
          <w:tcPr>
            <w:tcW w:w="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2,377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2028</w:t>
            </w:r>
          </w:p>
        </w:tc>
        <w:tc>
          <w:tcPr>
            <w:tcW w:w="8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2,348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tcPr>
          <w:p>
            <w:pPr>
              <w:spacing w:after="0" w:line="186" w:lineRule="exact"/>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11,994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8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Total lease payments</w:t>
            </w:r>
          </w:p>
        </w:tc>
        <w:tc>
          <w:tcPr>
            <w:tcW w:w="8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26,137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tcPr>
          <w:p>
            <w:pPr>
              <w:spacing w:after="0" w:line="186" w:lineRule="exact"/>
              <w:rPr>
                <w:sz w:val="20"/>
                <w:szCs w:val="20"/>
                <w:color w:val="auto"/>
              </w:rPr>
            </w:pPr>
            <w:r>
              <w:rPr>
                <w:rFonts w:ascii="Times New Roman" w:cs="Times New Roman" w:eastAsia="Times New Roman" w:hAnsi="Times New Roman"/>
                <w:sz w:val="18"/>
                <w:szCs w:val="18"/>
                <w:color w:val="auto"/>
              </w:rPr>
              <w:t>Less: imputed interest</w:t>
            </w:r>
          </w:p>
        </w:tc>
        <w:tc>
          <w:tcPr>
            <w:tcW w:w="82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7,404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80" w:type="dxa"/>
            <w:vAlign w:val="bottom"/>
            <w:tcBorders>
              <w:bottom w:val="single" w:sz="8" w:color="CCEEFF"/>
            </w:tcBorders>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Total lease liabilities</w:t>
            </w:r>
          </w:p>
        </w:tc>
        <w:tc>
          <w:tcPr>
            <w:tcW w:w="8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43"/>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18,733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380" w:type="dxa"/>
            <w:vAlign w:val="bottom"/>
            <w:gridSpan w:val="2"/>
            <w:vMerge w:val="restart"/>
          </w:tcPr>
          <w:p>
            <w:pPr>
              <w:jc w:val="right"/>
              <w:ind w:right="538"/>
              <w:spacing w:after="0"/>
              <w:rPr>
                <w:sz w:val="20"/>
                <w:szCs w:val="20"/>
                <w:color w:val="auto"/>
              </w:rPr>
            </w:pPr>
            <w:r>
              <w:rPr>
                <w:rFonts w:ascii="Times New Roman" w:cs="Times New Roman" w:eastAsia="Times New Roman" w:hAnsi="Times New Roman"/>
                <w:sz w:val="18"/>
                <w:szCs w:val="18"/>
                <w:b w:val="1"/>
                <w:bCs w:val="1"/>
                <w:color w:val="auto"/>
              </w:rPr>
              <w:t>Note 5: Income Taxes</w:t>
            </w: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680" w:type="dxa"/>
            <w:vAlign w:val="bottom"/>
          </w:tcPr>
          <w:p>
            <w:pPr>
              <w:spacing w:after="0"/>
              <w:rPr>
                <w:sz w:val="24"/>
                <w:szCs w:val="24"/>
                <w:color w:val="auto"/>
              </w:rPr>
            </w:pPr>
          </w:p>
        </w:tc>
        <w:tc>
          <w:tcPr>
            <w:tcW w:w="23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sets forth the Company’s income tax provision.</w:t>
            </w: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4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2760" w:type="dxa"/>
            <w:vAlign w:val="bottom"/>
            <w:tcBorders>
              <w:top w:val="single" w:sz="8" w:color="auto"/>
              <w:bottom w:val="single" w:sz="8" w:color="auto"/>
            </w:tcBorders>
            <w:gridSpan w:val="5"/>
          </w:tcPr>
          <w:p>
            <w:pPr>
              <w:jc w:val="right"/>
              <w:ind w:right="812"/>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6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6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Current</w:t>
            </w:r>
          </w:p>
        </w:tc>
        <w:tc>
          <w:tcPr>
            <w:tcW w:w="8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68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color w:val="auto"/>
              </w:rPr>
              <w:t>Federal</w:t>
            </w:r>
          </w:p>
        </w:tc>
        <w:tc>
          <w:tcPr>
            <w:tcW w:w="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20" w:type="dxa"/>
            <w:vAlign w:val="bottom"/>
            <w:gridSpan w:val="3"/>
          </w:tcPr>
          <w:p>
            <w:pPr>
              <w:jc w:val="right"/>
              <w:ind w:right="237"/>
              <w:spacing w:after="0" w:line="18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200"/>
              <w:spacing w:after="0" w:line="186" w:lineRule="exact"/>
              <w:rPr>
                <w:sz w:val="20"/>
                <w:szCs w:val="20"/>
                <w:color w:val="auto"/>
              </w:rPr>
            </w:pPr>
            <w:r>
              <w:rPr>
                <w:rFonts w:ascii="Times New Roman" w:cs="Times New Roman" w:eastAsia="Times New Roman" w:hAnsi="Times New Roman"/>
                <w:sz w:val="18"/>
                <w:szCs w:val="18"/>
                <w:color w:val="auto"/>
              </w:rPr>
              <w:t>(66)</w:t>
            </w:r>
          </w:p>
        </w:tc>
        <w:tc>
          <w:tcPr>
            <w:tcW w:w="600" w:type="dxa"/>
            <w:vAlign w:val="bottom"/>
            <w:gridSpan w:val="2"/>
          </w:tcPr>
          <w:p>
            <w:pPr>
              <w:jc w:val="right"/>
              <w:ind w:right="417"/>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680" w:type="dxa"/>
            <w:vAlign w:val="bottom"/>
            <w:tcBorders>
              <w:bottom w:val="single" w:sz="8" w:color="CCEEFF"/>
            </w:tcBorders>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State</w:t>
            </w:r>
          </w:p>
        </w:tc>
        <w:tc>
          <w:tcPr>
            <w:tcW w:w="8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519</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680" w:type="dxa"/>
            <w:vAlign w:val="bottom"/>
            <w:tcBorders>
              <w:bottom w:val="single" w:sz="8" w:color="CCEEFF"/>
            </w:tcBorders>
          </w:tcPr>
          <w:p>
            <w:pPr>
              <w:ind w:left="420"/>
              <w:spacing w:after="0" w:line="172" w:lineRule="exact"/>
              <w:rPr>
                <w:sz w:val="20"/>
                <w:szCs w:val="20"/>
                <w:color w:val="auto"/>
              </w:rPr>
            </w:pPr>
            <w:r>
              <w:rPr>
                <w:rFonts w:ascii="Times New Roman" w:cs="Times New Roman" w:eastAsia="Times New Roman" w:hAnsi="Times New Roman"/>
                <w:sz w:val="18"/>
                <w:szCs w:val="18"/>
                <w:color w:val="auto"/>
              </w:rPr>
              <w:t>Total current</w:t>
            </w:r>
          </w:p>
        </w:tc>
        <w:tc>
          <w:tcPr>
            <w:tcW w:w="82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453</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583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6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8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68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color w:val="auto"/>
              </w:rPr>
              <w:t>Federal</w:t>
            </w:r>
          </w:p>
        </w:tc>
        <w:tc>
          <w:tcPr>
            <w:tcW w:w="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00"/>
              <w:spacing w:after="0" w:line="186" w:lineRule="exact"/>
              <w:rPr>
                <w:sz w:val="20"/>
                <w:szCs w:val="20"/>
                <w:color w:val="auto"/>
              </w:rPr>
            </w:pPr>
            <w:r>
              <w:rPr>
                <w:rFonts w:ascii="Times New Roman" w:cs="Times New Roman" w:eastAsia="Times New Roman" w:hAnsi="Times New Roman"/>
                <w:sz w:val="18"/>
                <w:szCs w:val="18"/>
                <w:color w:val="auto"/>
              </w:rPr>
              <w:t>(1,324)</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(1,985)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680" w:type="dxa"/>
            <w:vAlign w:val="bottom"/>
            <w:tcBorders>
              <w:bottom w:val="single" w:sz="8" w:color="CCEEFF"/>
            </w:tcBorders>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State</w:t>
            </w:r>
          </w:p>
        </w:tc>
        <w:tc>
          <w:tcPr>
            <w:tcW w:w="8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680" w:type="dxa"/>
            <w:vAlign w:val="bottom"/>
            <w:tcBorders>
              <w:bottom w:val="single" w:sz="8" w:color="CCEEFF"/>
            </w:tcBorders>
          </w:tcPr>
          <w:p>
            <w:pPr>
              <w:ind w:left="420"/>
              <w:spacing w:after="0" w:line="172" w:lineRule="exact"/>
              <w:rPr>
                <w:sz w:val="20"/>
                <w:szCs w:val="20"/>
                <w:color w:val="auto"/>
              </w:rPr>
            </w:pPr>
            <w:r>
              <w:rPr>
                <w:rFonts w:ascii="Times New Roman" w:cs="Times New Roman" w:eastAsia="Times New Roman" w:hAnsi="Times New Roman"/>
                <w:sz w:val="18"/>
                <w:szCs w:val="18"/>
                <w:color w:val="auto"/>
              </w:rPr>
              <w:t>Total deferred</w:t>
            </w:r>
          </w:p>
        </w:tc>
        <w:tc>
          <w:tcPr>
            <w:tcW w:w="82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(1,316)</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680" w:type="dxa"/>
            <w:vAlign w:val="bottom"/>
            <w:tcBorders>
              <w:bottom w:val="single" w:sz="8" w:color="CCEEFF"/>
            </w:tcBorders>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Valuation Allowance</w:t>
            </w:r>
          </w:p>
        </w:tc>
        <w:tc>
          <w:tcPr>
            <w:tcW w:w="8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1,327</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1,988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Income Tax Provision</w:t>
            </w:r>
          </w:p>
        </w:tc>
        <w:tc>
          <w:tcPr>
            <w:tcW w:w="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20" w:type="dxa"/>
            <w:vAlign w:val="bottom"/>
            <w:gridSpan w:val="2"/>
          </w:tcPr>
          <w:p>
            <w:pPr>
              <w:spacing w:after="0"/>
              <w:rPr>
                <w:sz w:val="14"/>
                <w:szCs w:val="14"/>
                <w:color w:val="auto"/>
              </w:rPr>
            </w:pPr>
          </w:p>
        </w:tc>
        <w:tc>
          <w:tcPr>
            <w:tcW w:w="400" w:type="dxa"/>
            <w:vAlign w:val="bottom"/>
            <w:tcBorders>
              <w:bottom w:val="single" w:sz="8" w:color="auto"/>
            </w:tcBorders>
          </w:tcPr>
          <w:p>
            <w:pPr>
              <w:jc w:val="right"/>
              <w:ind w:right="237"/>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464</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17"/>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558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4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76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DallasNews Corporation 2023 Annual Report on Form 10-K</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w w:val="96"/>
              </w:rPr>
              <w:t>PAGE 38</w:t>
            </w:r>
          </w:p>
        </w:tc>
        <w:tc>
          <w:tcPr>
            <w:tcW w:w="0" w:type="dxa"/>
            <w:vAlign w:val="bottom"/>
          </w:tcPr>
          <w:p>
            <w:pPr>
              <w:spacing w:after="0"/>
              <w:rPr>
                <w:sz w:val="1"/>
                <w:szCs w:val="1"/>
                <w:color w:val="auto"/>
              </w:rPr>
            </w:pPr>
          </w:p>
        </w:tc>
      </w:tr>
      <w:tr>
        <w:trPr>
          <w:trHeight w:val="323"/>
        </w:trPr>
        <w:tc>
          <w:tcPr>
            <w:tcW w:w="46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reconciles the income tax benefit computed by applying the applicable United States federal income tax rate to the income tax provision computed at the effective income tax rate.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740" w:type="dxa"/>
            <w:vAlign w:val="bottom"/>
            <w:tcBorders>
              <w:top w:val="single" w:sz="8" w:color="auto"/>
              <w:bottom w:val="single" w:sz="8" w:color="auto"/>
            </w:tcBorders>
            <w:gridSpan w:val="5"/>
          </w:tcPr>
          <w:p>
            <w:pPr>
              <w:jc w:val="right"/>
              <w:ind w:right="192"/>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600" w:type="dxa"/>
            <w:vAlign w:val="bottom"/>
            <w:tcBorders>
              <w:top w:val="single" w:sz="8" w:color="auto"/>
              <w:bottom w:val="single" w:sz="8" w:color="auto"/>
            </w:tcBorders>
          </w:tcPr>
          <w:p>
            <w:pPr>
              <w:spacing w:after="0"/>
              <w:rPr>
                <w:sz w:val="16"/>
                <w:szCs w:val="16"/>
                <w:color w:val="auto"/>
              </w:rPr>
            </w:pPr>
          </w:p>
        </w:tc>
      </w:tr>
      <w:tr>
        <w:trPr>
          <w:trHeight w:val="179"/>
        </w:trPr>
        <w:tc>
          <w:tcPr>
            <w:tcW w:w="79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600" w:type="dxa"/>
            <w:vAlign w:val="bottom"/>
          </w:tcPr>
          <w:p>
            <w:pPr>
              <w:spacing w:after="0"/>
              <w:rPr>
                <w:sz w:val="15"/>
                <w:szCs w:val="15"/>
                <w:color w:val="auto"/>
              </w:rPr>
            </w:pPr>
          </w:p>
        </w:tc>
      </w:tr>
      <w:tr>
        <w:trPr>
          <w:trHeight w:val="185"/>
        </w:trPr>
        <w:tc>
          <w:tcPr>
            <w:tcW w:w="7900" w:type="dxa"/>
            <w:vAlign w:val="bottom"/>
            <w:tcBorders>
              <w:top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Computed expected income tax benefit</w:t>
            </w:r>
          </w:p>
        </w:tc>
        <w:tc>
          <w:tcPr>
            <w:tcW w:w="980" w:type="dxa"/>
            <w:vAlign w:val="bottom"/>
            <w:tcBorders>
              <w:top w:val="single" w:sz="8" w:color="auto"/>
            </w:tcBorders>
            <w:shd w:val="clear" w:color="auto" w:fill="CCEEFF"/>
          </w:tcPr>
          <w:p>
            <w:pPr>
              <w:jc w:val="right"/>
              <w:ind w:right="801"/>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(1,415)</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792"/>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(1,939)</w:t>
            </w:r>
          </w:p>
        </w:tc>
      </w:tr>
      <w:tr>
        <w:trPr>
          <w:trHeight w:val="186"/>
        </w:trPr>
        <w:tc>
          <w:tcPr>
            <w:tcW w:w="790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State income tax (net of federal benefit)</w:t>
            </w:r>
          </w:p>
        </w:tc>
        <w:tc>
          <w:tcPr>
            <w:tcW w:w="980" w:type="dxa"/>
            <w:vAlign w:val="bottom"/>
          </w:tcPr>
          <w:p>
            <w:pPr>
              <w:spacing w:after="0"/>
              <w:rPr>
                <w:sz w:val="16"/>
                <w:szCs w:val="16"/>
                <w:color w:val="auto"/>
              </w:rPr>
            </w:pPr>
          </w:p>
        </w:tc>
        <w:tc>
          <w:tcPr>
            <w:tcW w:w="6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460</w:t>
            </w:r>
          </w:p>
        </w:tc>
      </w:tr>
      <w:tr>
        <w:trPr>
          <w:trHeight w:val="186"/>
        </w:trPr>
        <w:tc>
          <w:tcPr>
            <w:tcW w:w="79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Valuation allowance</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1,988</w:t>
            </w:r>
          </w:p>
        </w:tc>
      </w:tr>
      <w:tr>
        <w:trPr>
          <w:trHeight w:val="185"/>
        </w:trPr>
        <w:tc>
          <w:tcPr>
            <w:tcW w:w="790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Nondeductible expenses</w:t>
            </w:r>
          </w:p>
        </w:tc>
        <w:tc>
          <w:tcPr>
            <w:tcW w:w="980" w:type="dxa"/>
            <w:vAlign w:val="bottom"/>
          </w:tcPr>
          <w:p>
            <w:pPr>
              <w:spacing w:after="0"/>
              <w:rPr>
                <w:sz w:val="16"/>
                <w:szCs w:val="16"/>
                <w:color w:val="auto"/>
              </w:rPr>
            </w:pPr>
          </w:p>
        </w:tc>
        <w:tc>
          <w:tcPr>
            <w:tcW w:w="6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120</w:t>
            </w:r>
          </w:p>
        </w:tc>
      </w:tr>
      <w:tr>
        <w:trPr>
          <w:trHeight w:val="186"/>
        </w:trPr>
        <w:tc>
          <w:tcPr>
            <w:tcW w:w="79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Uncertain tax position reserve</w:t>
            </w:r>
          </w:p>
        </w:tc>
        <w:tc>
          <w:tcPr>
            <w:tcW w:w="9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6" w:lineRule="exact"/>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r>
      <w:tr>
        <w:trPr>
          <w:trHeight w:val="185"/>
        </w:trPr>
        <w:tc>
          <w:tcPr>
            <w:tcW w:w="790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Deferred adjustment</w:t>
            </w:r>
          </w:p>
        </w:tc>
        <w:tc>
          <w:tcPr>
            <w:tcW w:w="980" w:type="dxa"/>
            <w:vAlign w:val="bottom"/>
          </w:tcPr>
          <w:p>
            <w:pPr>
              <w:spacing w:after="0"/>
              <w:rPr>
                <w:sz w:val="16"/>
                <w:szCs w:val="16"/>
                <w:color w:val="auto"/>
              </w:rPr>
            </w:pPr>
          </w:p>
        </w:tc>
        <w:tc>
          <w:tcPr>
            <w:tcW w:w="700" w:type="dxa"/>
            <w:vAlign w:val="bottom"/>
            <w:gridSpan w:val="2"/>
          </w:tcPr>
          <w:p>
            <w:pPr>
              <w:jc w:val="right"/>
              <w:ind w:right="100"/>
              <w:spacing w:after="0" w:line="186" w:lineRule="exact"/>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94</w:t>
            </w:r>
          </w:p>
        </w:tc>
      </w:tr>
      <w:tr>
        <w:trPr>
          <w:trHeight w:val="206"/>
        </w:trPr>
        <w:tc>
          <w:tcPr>
            <w:tcW w:w="79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186" w:lineRule="exact"/>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(165)</w:t>
            </w:r>
          </w:p>
        </w:tc>
      </w:tr>
      <w:tr>
        <w:trPr>
          <w:trHeight w:val="212"/>
        </w:trPr>
        <w:tc>
          <w:tcPr>
            <w:tcW w:w="7900" w:type="dxa"/>
            <w:vAlign w:val="bottom"/>
            <w:tcBorders>
              <w:top w:val="single" w:sz="8" w:color="CCEEFF"/>
              <w:bottom w:val="single" w:sz="8" w:color="CCEEFF"/>
            </w:tcBorders>
          </w:tcPr>
          <w:p>
            <w:pPr>
              <w:spacing w:after="0" w:line="172" w:lineRule="exact"/>
              <w:rPr>
                <w:sz w:val="20"/>
                <w:szCs w:val="20"/>
                <w:color w:val="auto"/>
              </w:rPr>
            </w:pPr>
            <w:r>
              <w:rPr>
                <w:rFonts w:ascii="Times New Roman" w:cs="Times New Roman" w:eastAsia="Times New Roman" w:hAnsi="Times New Roman"/>
                <w:sz w:val="18"/>
                <w:szCs w:val="18"/>
                <w:color w:val="auto"/>
              </w:rPr>
              <w:t>Income tax provision</w:t>
            </w:r>
          </w:p>
        </w:tc>
        <w:tc>
          <w:tcPr>
            <w:tcW w:w="980" w:type="dxa"/>
            <w:vAlign w:val="bottom"/>
            <w:tcBorders>
              <w:top w:val="single" w:sz="8" w:color="auto"/>
              <w:bottom w:val="single" w:sz="8" w:color="auto"/>
            </w:tcBorders>
          </w:tcPr>
          <w:p>
            <w:pPr>
              <w:jc w:val="right"/>
              <w:ind w:right="801"/>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792"/>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558</w:t>
            </w:r>
          </w:p>
        </w:tc>
      </w:tr>
      <w:tr>
        <w:trPr>
          <w:trHeight w:val="165"/>
        </w:trPr>
        <w:tc>
          <w:tcPr>
            <w:tcW w:w="7900" w:type="dxa"/>
            <w:vAlign w:val="bottom"/>
            <w:tcBorders>
              <w:bottom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auto"/>
              </w:rPr>
              <w:t>Effective income tax rate</w:t>
            </w:r>
          </w:p>
        </w:tc>
        <w:tc>
          <w:tcPr>
            <w:tcW w:w="9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7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income tax provision of $464 and $558 recorded in 2023 and 2022, respectively, was due to the effect of the Texas franchise tax. The 2023 income tax expense was reduced by the release of a $66 federal uncertain tax reserve, included in other liabilities, as a result of the statute of limitations lapsing in June 2023. In connection with the release of a federal uncertain tax reserve, the Company released a reserve for interest and penalties included in other liabilities and recognized $36 in other income (loss), net in the second quarter of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income tax payments, net of refunds, of $594 and $619 in 2023 and 2022, respectively.</w:t>
      </w:r>
    </w:p>
    <w:p>
      <w:pPr>
        <w:spacing w:after="0" w:line="17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In August 2022, the Inflation Reduction Act (the “Act”) was enacted and signed into law. The Act is a budget reconciliation package that includes significant law changes relating to tax, climate change, energy, and health care. The tax provisions include, among other items, a corporate alternative minimum tax of 15 percent, an excise tax of 1 percent on corporate stock buy-backs, energy-related tax credits, and additional IRS funding. Certain provisions, including the corporate alternative minimum tax and excise tax on corporate stock buy-backs, became effective for tax years beginning after December 31, 2022. As of December 31, 2023, this legislation did not have a material impact on the Company’s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significant components of the Company’s deferred tax assets and liabilities.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660" w:type="dxa"/>
            <w:vAlign w:val="bottom"/>
            <w:tcBorders>
              <w:top w:val="single" w:sz="8" w:color="auto"/>
              <w:bottom w:val="single" w:sz="8" w:color="auto"/>
            </w:tcBorders>
            <w:gridSpan w:val="3"/>
          </w:tcPr>
          <w:p>
            <w:pPr>
              <w:jc w:val="right"/>
              <w:ind w:right="37"/>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920" w:type="dxa"/>
            <w:vAlign w:val="bottom"/>
            <w:tcBorders>
              <w:top w:val="single" w:sz="8" w:color="auto"/>
              <w:bottom w:val="single" w:sz="8" w:color="auto"/>
            </w:tcBorders>
          </w:tcPr>
          <w:p>
            <w:pPr>
              <w:spacing w:after="0"/>
              <w:rPr>
                <w:sz w:val="16"/>
                <w:szCs w:val="16"/>
                <w:color w:val="auto"/>
              </w:rPr>
            </w:pPr>
          </w:p>
        </w:tc>
      </w:tr>
      <w:tr>
        <w:trPr>
          <w:trHeight w:val="165"/>
        </w:trPr>
        <w:tc>
          <w:tcPr>
            <w:tcW w:w="58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1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3"/>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r>
      <w:tr>
        <w:trPr>
          <w:trHeight w:val="185"/>
        </w:trPr>
        <w:tc>
          <w:tcPr>
            <w:tcW w:w="58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2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5"/>
        </w:trPr>
        <w:tc>
          <w:tcPr>
            <w:tcW w:w="584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color w:val="auto"/>
              </w:rPr>
              <w:t>Defined benefit plans</w:t>
            </w:r>
          </w:p>
        </w:tc>
        <w:tc>
          <w:tcPr>
            <w:tcW w:w="2820" w:type="dxa"/>
            <w:vAlign w:val="bottom"/>
            <w:gridSpan w:val="2"/>
          </w:tcPr>
          <w:p>
            <w:pPr>
              <w:jc w:val="right"/>
              <w:ind w:right="137"/>
              <w:spacing w:after="0" w:line="18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3,648</w:t>
            </w:r>
          </w:p>
        </w:tc>
        <w:tc>
          <w:tcPr>
            <w:tcW w:w="600" w:type="dxa"/>
            <w:vAlign w:val="bottom"/>
            <w:gridSpan w:val="2"/>
          </w:tcPr>
          <w:p>
            <w:pPr>
              <w:jc w:val="right"/>
              <w:ind w:right="277"/>
              <w:spacing w:after="0" w:line="18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4,088</w:t>
            </w:r>
          </w:p>
        </w:tc>
      </w:tr>
      <w:tr>
        <w:trPr>
          <w:trHeight w:val="186"/>
        </w:trPr>
        <w:tc>
          <w:tcPr>
            <w:tcW w:w="584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Investments</w:t>
            </w:r>
          </w:p>
        </w:tc>
        <w:tc>
          <w:tcPr>
            <w:tcW w:w="2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160</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114</w:t>
            </w:r>
          </w:p>
        </w:tc>
      </w:tr>
      <w:tr>
        <w:trPr>
          <w:trHeight w:val="185"/>
        </w:trPr>
        <w:tc>
          <w:tcPr>
            <w:tcW w:w="584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color w:val="auto"/>
              </w:rPr>
              <w:t>Tax depreciation less than book depreciation</w:t>
            </w:r>
          </w:p>
        </w:tc>
        <w:tc>
          <w:tcPr>
            <w:tcW w:w="2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887</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1,107</w:t>
            </w:r>
          </w:p>
        </w:tc>
      </w:tr>
      <w:tr>
        <w:trPr>
          <w:trHeight w:val="185"/>
        </w:trPr>
        <w:tc>
          <w:tcPr>
            <w:tcW w:w="584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w w:val="99"/>
              </w:rPr>
              <w:t>Expenses deductible for tax purposes in a year different from the year accrued</w:t>
            </w:r>
          </w:p>
        </w:tc>
        <w:tc>
          <w:tcPr>
            <w:tcW w:w="2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586</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640</w:t>
            </w:r>
          </w:p>
        </w:tc>
      </w:tr>
      <w:tr>
        <w:trPr>
          <w:trHeight w:val="185"/>
        </w:trPr>
        <w:tc>
          <w:tcPr>
            <w:tcW w:w="584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color w:val="auto"/>
              </w:rPr>
              <w:t>Lease liability</w:t>
            </w:r>
          </w:p>
        </w:tc>
        <w:tc>
          <w:tcPr>
            <w:tcW w:w="2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3,993</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3,806</w:t>
            </w:r>
          </w:p>
        </w:tc>
      </w:tr>
      <w:tr>
        <w:trPr>
          <w:trHeight w:val="185"/>
        </w:trPr>
        <w:tc>
          <w:tcPr>
            <w:tcW w:w="584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Deferred compensation and benefits</w:t>
            </w:r>
          </w:p>
        </w:tc>
        <w:tc>
          <w:tcPr>
            <w:tcW w:w="2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547</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40</w:t>
            </w:r>
          </w:p>
        </w:tc>
      </w:tr>
      <w:tr>
        <w:trPr>
          <w:trHeight w:val="185"/>
        </w:trPr>
        <w:tc>
          <w:tcPr>
            <w:tcW w:w="584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color w:val="auto"/>
              </w:rPr>
              <w:t>Book amortization in excess of tax amortization</w:t>
            </w:r>
          </w:p>
        </w:tc>
        <w:tc>
          <w:tcPr>
            <w:tcW w:w="2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876</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935</w:t>
            </w:r>
          </w:p>
        </w:tc>
      </w:tr>
      <w:tr>
        <w:trPr>
          <w:trHeight w:val="186"/>
        </w:trPr>
        <w:tc>
          <w:tcPr>
            <w:tcW w:w="584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State taxes</w:t>
            </w:r>
          </w:p>
        </w:tc>
        <w:tc>
          <w:tcPr>
            <w:tcW w:w="2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168</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171</w:t>
            </w:r>
          </w:p>
        </w:tc>
      </w:tr>
      <w:tr>
        <w:trPr>
          <w:trHeight w:val="185"/>
        </w:trPr>
        <w:tc>
          <w:tcPr>
            <w:tcW w:w="584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color w:val="auto"/>
              </w:rPr>
              <w:t>Net operating loss carryforward</w:t>
            </w:r>
          </w:p>
        </w:tc>
        <w:tc>
          <w:tcPr>
            <w:tcW w:w="2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11,468</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10,063</w:t>
            </w:r>
          </w:p>
        </w:tc>
      </w:tr>
      <w:tr>
        <w:trPr>
          <w:trHeight w:val="205"/>
        </w:trPr>
        <w:tc>
          <w:tcPr>
            <w:tcW w:w="5840" w:type="dxa"/>
            <w:vAlign w:val="bottom"/>
            <w:tcBorders>
              <w:bottom w:val="single" w:sz="8" w:color="CCEEFF"/>
            </w:tcBorders>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Other</w:t>
            </w:r>
          </w:p>
        </w:tc>
        <w:tc>
          <w:tcPr>
            <w:tcW w:w="25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230</w:t>
            </w:r>
          </w:p>
        </w:tc>
        <w:tc>
          <w:tcPr>
            <w:tcW w:w="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316</w:t>
            </w:r>
          </w:p>
        </w:tc>
      </w:tr>
      <w:tr>
        <w:trPr>
          <w:trHeight w:val="172"/>
        </w:trPr>
        <w:tc>
          <w:tcPr>
            <w:tcW w:w="5840" w:type="dxa"/>
            <w:vAlign w:val="bottom"/>
          </w:tcPr>
          <w:p>
            <w:pPr>
              <w:ind w:left="420"/>
              <w:spacing w:after="0" w:line="172" w:lineRule="exact"/>
              <w:rPr>
                <w:sz w:val="20"/>
                <w:szCs w:val="20"/>
                <w:color w:val="auto"/>
              </w:rPr>
            </w:pPr>
            <w:r>
              <w:rPr>
                <w:rFonts w:ascii="Times New Roman" w:cs="Times New Roman" w:eastAsia="Times New Roman" w:hAnsi="Times New Roman"/>
                <w:sz w:val="18"/>
                <w:szCs w:val="18"/>
                <w:color w:val="auto"/>
              </w:rPr>
              <w:t>Total deferred tax assets</w:t>
            </w:r>
          </w:p>
        </w:tc>
        <w:tc>
          <w:tcPr>
            <w:tcW w:w="2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22,563</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21,280</w:t>
            </w:r>
          </w:p>
        </w:tc>
      </w:tr>
      <w:tr>
        <w:trPr>
          <w:trHeight w:val="205"/>
        </w:trPr>
        <w:tc>
          <w:tcPr>
            <w:tcW w:w="5840" w:type="dxa"/>
            <w:vAlign w:val="bottom"/>
            <w:tcBorders>
              <w:bottom w:val="single" w:sz="8" w:color="CCEEFF"/>
            </w:tcBorders>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Valuation allowance</w:t>
            </w:r>
          </w:p>
        </w:tc>
        <w:tc>
          <w:tcPr>
            <w:tcW w:w="25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(18,468)</w:t>
            </w:r>
          </w:p>
        </w:tc>
        <w:tc>
          <w:tcPr>
            <w:tcW w:w="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(17,380)</w:t>
            </w:r>
          </w:p>
        </w:tc>
      </w:tr>
      <w:tr>
        <w:trPr>
          <w:trHeight w:val="172"/>
        </w:trPr>
        <w:tc>
          <w:tcPr>
            <w:tcW w:w="5840" w:type="dxa"/>
            <w:vAlign w:val="bottom"/>
          </w:tcPr>
          <w:p>
            <w:pPr>
              <w:ind w:left="420"/>
              <w:spacing w:after="0" w:line="172" w:lineRule="exact"/>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4,095</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3,900</w:t>
            </w:r>
          </w:p>
        </w:tc>
      </w:tr>
      <w:tr>
        <w:trPr>
          <w:trHeight w:val="185"/>
        </w:trPr>
        <w:tc>
          <w:tcPr>
            <w:tcW w:w="58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Gross Deferred Tax Liabilities:</w:t>
            </w:r>
          </w:p>
        </w:tc>
        <w:tc>
          <w:tcPr>
            <w:tcW w:w="2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5"/>
        </w:trPr>
        <w:tc>
          <w:tcPr>
            <w:tcW w:w="584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color w:val="auto"/>
              </w:rPr>
              <w:t>Right-of-use asset</w:t>
            </w:r>
          </w:p>
        </w:tc>
        <w:tc>
          <w:tcPr>
            <w:tcW w:w="2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(3,447)</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(3,117)</w:t>
            </w:r>
          </w:p>
        </w:tc>
      </w:tr>
      <w:tr>
        <w:trPr>
          <w:trHeight w:val="185"/>
        </w:trPr>
        <w:tc>
          <w:tcPr>
            <w:tcW w:w="584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Deferred Revenue</w:t>
            </w:r>
          </w:p>
        </w:tc>
        <w:tc>
          <w:tcPr>
            <w:tcW w:w="2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r>
      <w:tr>
        <w:trPr>
          <w:trHeight w:val="192"/>
        </w:trPr>
        <w:tc>
          <w:tcPr>
            <w:tcW w:w="5840" w:type="dxa"/>
            <w:vAlign w:val="bottom"/>
            <w:tcBorders>
              <w:bottom w:val="single" w:sz="8" w:color="CCEEFF"/>
            </w:tcBorders>
          </w:tcPr>
          <w:p>
            <w:pPr>
              <w:ind w:left="220"/>
              <w:spacing w:after="0" w:line="186" w:lineRule="exact"/>
              <w:rPr>
                <w:sz w:val="20"/>
                <w:szCs w:val="20"/>
                <w:color w:val="auto"/>
              </w:rPr>
            </w:pPr>
            <w:r>
              <w:rPr>
                <w:rFonts w:ascii="Times New Roman" w:cs="Times New Roman" w:eastAsia="Times New Roman" w:hAnsi="Times New Roman"/>
                <w:sz w:val="18"/>
                <w:szCs w:val="18"/>
                <w:color w:val="auto"/>
              </w:rPr>
              <w:t>Other</w:t>
            </w:r>
          </w:p>
        </w:tc>
        <w:tc>
          <w:tcPr>
            <w:tcW w:w="2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(357)</w:t>
            </w: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(501)</w:t>
            </w:r>
          </w:p>
        </w:tc>
      </w:tr>
      <w:tr>
        <w:trPr>
          <w:trHeight w:val="185"/>
        </w:trPr>
        <w:tc>
          <w:tcPr>
            <w:tcW w:w="5840" w:type="dxa"/>
            <w:vAlign w:val="bottom"/>
            <w:shd w:val="clear" w:color="auto" w:fill="CCEEFF"/>
          </w:tcPr>
          <w:p>
            <w:pPr>
              <w:ind w:left="420"/>
              <w:spacing w:after="0" w:line="186" w:lineRule="exact"/>
              <w:rPr>
                <w:sz w:val="20"/>
                <w:szCs w:val="20"/>
                <w:color w:val="auto"/>
              </w:rPr>
            </w:pPr>
            <w:r>
              <w:rPr>
                <w:rFonts w:ascii="Times New Roman" w:cs="Times New Roman" w:eastAsia="Times New Roman" w:hAnsi="Times New Roman"/>
                <w:sz w:val="18"/>
                <w:szCs w:val="18"/>
                <w:color w:val="auto"/>
              </w:rPr>
              <w:t>Total deferred tax liabilities</w:t>
            </w:r>
          </w:p>
        </w:tc>
        <w:tc>
          <w:tcPr>
            <w:tcW w:w="2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(3,824)</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(3,618)</w:t>
            </w:r>
          </w:p>
        </w:tc>
      </w:tr>
      <w:tr>
        <w:trPr>
          <w:trHeight w:val="192"/>
        </w:trPr>
        <w:tc>
          <w:tcPr>
            <w:tcW w:w="5840" w:type="dxa"/>
            <w:vAlign w:val="bottom"/>
            <w:tcBorders>
              <w:bottom w:val="single" w:sz="8" w:color="CCEEFF"/>
            </w:tcBorders>
          </w:tcPr>
          <w:p>
            <w:pPr>
              <w:spacing w:after="0"/>
              <w:rPr>
                <w:sz w:val="16"/>
                <w:szCs w:val="16"/>
                <w:color w:val="auto"/>
              </w:rPr>
            </w:pPr>
          </w:p>
        </w:tc>
        <w:tc>
          <w:tcPr>
            <w:tcW w:w="2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5"/>
        </w:trPr>
        <w:tc>
          <w:tcPr>
            <w:tcW w:w="5840" w:type="dxa"/>
            <w:vAlign w:val="bottom"/>
            <w:tcBorders>
              <w:bottom w:val="single" w:sz="8" w:color="CCEEFF"/>
            </w:tcBorders>
            <w:shd w:val="clear" w:color="auto" w:fill="CCEEFF"/>
          </w:tcPr>
          <w:p>
            <w:pPr>
              <w:ind w:left="540"/>
              <w:spacing w:after="0" w:line="186" w:lineRule="exact"/>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25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7"/>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271</w:t>
            </w: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77"/>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282</w:t>
            </w:r>
          </w:p>
        </w:tc>
      </w:tr>
      <w:tr>
        <w:trPr>
          <w:trHeight w:val="20"/>
        </w:trPr>
        <w:tc>
          <w:tcPr>
            <w:tcW w:w="58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68"/>
        </w:trPr>
        <w:tc>
          <w:tcPr>
            <w:tcW w:w="5840" w:type="dxa"/>
            <w:vAlign w:val="bottom"/>
          </w:tcPr>
          <w:p>
            <w:pPr>
              <w:spacing w:after="0"/>
              <w:rPr>
                <w:sz w:val="24"/>
                <w:szCs w:val="24"/>
                <w:color w:val="auto"/>
              </w:rPr>
            </w:pPr>
          </w:p>
        </w:tc>
        <w:tc>
          <w:tcPr>
            <w:tcW w:w="4480" w:type="dxa"/>
            <w:vAlign w:val="bottom"/>
            <w:gridSpan w:val="5"/>
          </w:tcPr>
          <w:p>
            <w:pPr>
              <w:jc w:val="right"/>
              <w:ind w:right="17"/>
              <w:spacing w:after="0"/>
              <w:rPr>
                <w:sz w:val="20"/>
                <w:szCs w:val="20"/>
                <w:color w:val="auto"/>
              </w:rPr>
            </w:pPr>
            <w:r>
              <w:rPr>
                <w:rFonts w:ascii="Times New Roman" w:cs="Times New Roman" w:eastAsia="Times New Roman" w:hAnsi="Times New Roman"/>
                <w:sz w:val="18"/>
                <w:szCs w:val="18"/>
                <w:color w:val="auto"/>
                <w:w w:val="99"/>
              </w:rPr>
              <w:t>DallasNews Corporation 2023 Annual Report on Form 10-K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 39</w:t>
            </w:r>
          </w:p>
        </w:tc>
      </w:tr>
      <w:tr>
        <w:trPr>
          <w:trHeight w:val="337"/>
        </w:trPr>
        <w:tc>
          <w:tcPr>
            <w:tcW w:w="58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158"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18"/>
          <w:szCs w:val="18"/>
          <w:color w:val="auto"/>
        </w:rPr>
        <w:t>The presentation of net deferred tax assets and liabilities for each jurisdiction are presented as noncurrent within the Company’s Consolidated Balance Sheets. Deferred income tax balances reflect the effects of temporary differences between the carrying amounts of assets and liabilities and their tax bases and are stated at enacted tax rates expected to be in effect when the taxes are actually paid or recovered. The Company recognizes a valuation allowance for deferred tax assets when it is more-likely-than-not that these assets will not be realized. In making this determination, all positive and negative evidence is considered, including future reversals of existing taxable temporary differences, tax planning strategies, future taxable income and taxable income in prior carryback years. In 2023, the valuation allowance increased $1,088, of which $(238) arose from deferred tax assets related to amounts recorded in accumulated other comprehensive loss that are fully reserved by a valuation allowance. At December 31, 2023, the Company had a federal net operating loss carryforward of $54,209, of which $17,528 expires in 2037 and $36,681 does not have an expiration. The annual utilization of the federal net operating loss, which does not have an expiration, is limited to 80 percent of taxable income in tax years beginning after January 1, 2021. The Company has a state net operating loss of $2,166, which begins to expire in 2034.</w:t>
      </w:r>
    </w:p>
    <w:p>
      <w:pPr>
        <w:spacing w:after="0" w:line="15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Uncertain tax positions are evaluated and a liability is recognized for the tax benefit associated with uncertain positions only if it is more-likely-than-not that the positions will not be sustained upon examination by taxing authorities, based on the technical merits of the positions. The Company assesses its filing positions in all significant jurisdictions where it is required to file income tax returns for all open tax years. The Company’s federal income tax return for December 31, 2014 and for tax years subsequent to December 31, 2016 remain subject to examination, and income tax returns in major state income tax jurisdictions where the Company operated remain subject to examination. The statute of limitations associated with the December 31, 2014 federal return was extended in 2020 due to the net operating loss carryback pursuant to the CARES Act. In the second quarter of 2023, the Company released all remaining reserve for the tax benefit related to uncertain tax positions and as of December 31, 2023, there is no remaining balance</w:t>
      </w:r>
      <w:r>
        <w:rPr>
          <w:rFonts w:ascii="Times New Roman" w:cs="Times New Roman" w:eastAsia="Times New Roman" w:hAnsi="Times New Roman"/>
          <w:sz w:val="18"/>
          <w:szCs w:val="18"/>
          <w:b w:val="1"/>
          <w:bCs w:val="1"/>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 reconciliation of the beginning and ending amount of unrecognized tax benefit.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20" w:type="dxa"/>
            <w:vAlign w:val="bottom"/>
            <w:tcBorders>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4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r>
      <w:tr>
        <w:trPr>
          <w:trHeight w:val="186"/>
        </w:trPr>
        <w:tc>
          <w:tcPr>
            <w:tcW w:w="832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Balance at January 1</w:t>
            </w:r>
          </w:p>
        </w:tc>
        <w:tc>
          <w:tcPr>
            <w:tcW w:w="960" w:type="dxa"/>
            <w:vAlign w:val="bottom"/>
            <w:shd w:val="clear" w:color="auto" w:fill="CCEEFF"/>
          </w:tcPr>
          <w:p>
            <w:pPr>
              <w:jc w:val="right"/>
              <w:ind w:right="801"/>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7"/>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66</w:t>
            </w:r>
          </w:p>
        </w:tc>
      </w:tr>
      <w:tr>
        <w:trPr>
          <w:trHeight w:val="192"/>
        </w:trPr>
        <w:tc>
          <w:tcPr>
            <w:tcW w:w="832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Decrease related to statute of limitations expiring</w:t>
            </w:r>
          </w:p>
        </w:tc>
        <w:tc>
          <w:tcPr>
            <w:tcW w:w="960" w:type="dxa"/>
            <w:vAlign w:val="bottom"/>
          </w:tcPr>
          <w:p>
            <w:pPr>
              <w:spacing w:after="0"/>
              <w:rPr>
                <w:sz w:val="16"/>
                <w:szCs w:val="16"/>
                <w:color w:val="auto"/>
              </w:rPr>
            </w:pPr>
          </w:p>
        </w:tc>
        <w:tc>
          <w:tcPr>
            <w:tcW w:w="580" w:type="dxa"/>
            <w:vAlign w:val="bottom"/>
            <w:gridSpan w:val="2"/>
          </w:tcPr>
          <w:p>
            <w:pPr>
              <w:jc w:val="right"/>
              <w:ind w:right="160"/>
              <w:spacing w:after="0" w:line="186" w:lineRule="exact"/>
              <w:rPr>
                <w:sz w:val="20"/>
                <w:szCs w:val="20"/>
                <w:color w:val="auto"/>
              </w:rPr>
            </w:pPr>
            <w:r>
              <w:rPr>
                <w:rFonts w:ascii="Times New Roman" w:cs="Times New Roman" w:eastAsia="Times New Roman" w:hAnsi="Times New Roman"/>
                <w:sz w:val="18"/>
                <w:szCs w:val="18"/>
                <w:color w:val="auto"/>
              </w:rPr>
              <w:t>(66)</w:t>
            </w:r>
          </w:p>
        </w:tc>
        <w:tc>
          <w:tcPr>
            <w:tcW w:w="320" w:type="dxa"/>
            <w:vAlign w:val="bottom"/>
          </w:tcPr>
          <w:p>
            <w:pPr>
              <w:spacing w:after="0"/>
              <w:rPr>
                <w:sz w:val="16"/>
                <w:szCs w:val="16"/>
                <w:color w:val="auto"/>
              </w:rPr>
            </w:pPr>
          </w:p>
        </w:tc>
        <w:tc>
          <w:tcPr>
            <w:tcW w:w="10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r>
      <w:tr>
        <w:trPr>
          <w:trHeight w:val="186"/>
        </w:trPr>
        <w:tc>
          <w:tcPr>
            <w:tcW w:w="8320" w:type="dxa"/>
            <w:vAlign w:val="bottom"/>
            <w:tcBorders>
              <w:top w:val="single" w:sz="8" w:color="CCEEFF"/>
              <w:bottom w:val="single" w:sz="8" w:color="CCEEFF"/>
            </w:tcBorders>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Balance at December 31</w:t>
            </w:r>
          </w:p>
        </w:tc>
        <w:tc>
          <w:tcPr>
            <w:tcW w:w="960" w:type="dxa"/>
            <w:vAlign w:val="bottom"/>
            <w:tcBorders>
              <w:top w:val="single" w:sz="8" w:color="auto"/>
              <w:bottom w:val="single" w:sz="8" w:color="auto"/>
            </w:tcBorders>
            <w:shd w:val="clear" w:color="auto" w:fill="CCEEFF"/>
          </w:tcPr>
          <w:p>
            <w:pPr>
              <w:jc w:val="right"/>
              <w:ind w:right="801"/>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57"/>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8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2023, the Company recorded a tax benefit of $66 and $36 of interest income, included in other income (loss), net in the Consolidated Statement of Operations, due to the release of the remaining federal uncertain tax reserve and related interest resulting from the statute of limitations lapsing in June 2023. In 2022, the Company recorded interest expense of $4 and penalty expense of $5. Accrued interest and penalty at December 31, 2022 was $36, included in other liabilities in the Consolidated Balance Sheet.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6: Pension and Other Retirement Plans</w:t>
      </w:r>
    </w:p>
    <w:p>
      <w:pPr>
        <w:spacing w:after="0" w:line="17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b w:val="1"/>
          <w:bCs w:val="1"/>
          <w:color w:val="auto"/>
        </w:rPr>
        <w:t xml:space="preserve">Defined Benefit Plans. </w:t>
      </w:r>
      <w:r>
        <w:rPr>
          <w:rFonts w:ascii="Times New Roman" w:cs="Times New Roman" w:eastAsia="Times New Roman" w:hAnsi="Times New Roman"/>
          <w:sz w:val="18"/>
          <w:szCs w:val="18"/>
          <w:color w:val="auto"/>
        </w:rPr>
        <w:t>The Company sponsors the DallasNews Pension Plans (the “Pension Plans”), which provide benefits to approximately 1,340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former employees of the Company. DallasNews Pension Plan I provides benefits to certain current and former employees primarily employed with </w:t>
      </w:r>
      <w:r>
        <w:rPr>
          <w:rFonts w:ascii="Times New Roman" w:cs="Times New Roman" w:eastAsia="Times New Roman" w:hAnsi="Times New Roman"/>
          <w:sz w:val="18"/>
          <w:szCs w:val="18"/>
          <w:i w:val="1"/>
          <w:iCs w:val="1"/>
          <w:color w:val="auto"/>
        </w:rPr>
        <w:t xml:space="preserve">The Dallas Morning News </w:t>
      </w:r>
      <w:r>
        <w:rPr>
          <w:rFonts w:ascii="Times New Roman" w:cs="Times New Roman" w:eastAsia="Times New Roman" w:hAnsi="Times New Roman"/>
          <w:sz w:val="18"/>
          <w:szCs w:val="18"/>
          <w:color w:val="auto"/>
        </w:rPr>
        <w:t>or the DallasNews corporate offices. DallasNews Pension Plan II provides benefits to certain former employees of The Providence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Journal Company. This obligation was retained by the Company upon the sale of the newspaper operations of </w:t>
      </w:r>
      <w:r>
        <w:rPr>
          <w:rFonts w:ascii="Times New Roman" w:cs="Times New Roman" w:eastAsia="Times New Roman" w:hAnsi="Times New Roman"/>
          <w:sz w:val="18"/>
          <w:szCs w:val="18"/>
          <w:i w:val="1"/>
          <w:iCs w:val="1"/>
          <w:color w:val="auto"/>
        </w:rPr>
        <w:t>The Providence Journal</w:t>
      </w:r>
      <w:r>
        <w:rPr>
          <w:rFonts w:ascii="Times New Roman" w:cs="Times New Roman" w:eastAsia="Times New Roman" w:hAnsi="Times New Roman"/>
          <w:sz w:val="18"/>
          <w:szCs w:val="18"/>
          <w:color w:val="auto"/>
        </w:rPr>
        <w:t>. No additional benefits are accruing under the DallasNews Pension Plans, as future benefits were frozen.</w:t>
      </w:r>
    </w:p>
    <w:p>
      <w:pPr>
        <w:spacing w:after="0" w:line="15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Company is the sole sponsor of the Pension Plans and is required to meet certain pension funding requirements as established under the Employment Retirement Income Security Act (“ERISA”). Instability in global and domestic capital markets may result in low returns on the assets contributed to the Pension Plans. Additionally, low yields on corporate bonds may decrease the discount rate, resulting in a higher funding obligation. Although legislation was enacted into law in 2012, which provided limited funding relief, market conditions could materially increase the funding requirements associated with the Pension Plans, with an adverse effect on the Company’s liquidity and financial condition. The Company was not required to make contributions to the DallasNews Pension Plans in 2023 and 2022 under ERISA. In August 2022, the Company made a board approved voluntary contribution of $5,000 to the Pension Plans, reflected in long-term pension liabilities in the Consolidated Balance Sheets. The Company will continue to evaluate the feasibility of de-risking strategies based on the economic benefits to the Company.</w:t>
      </w:r>
    </w:p>
    <w:p>
      <w:pPr>
        <w:spacing w:after="0" w:line="1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Actuarial gains (losses) of $1,199 and $(9,818) were recorded to other comprehensive income (loss) in 2023 and 2022, respectively, related to the Pension Plans; see </w:t>
      </w:r>
      <w:r>
        <w:rPr>
          <w:rFonts w:ascii="Times New Roman" w:cs="Times New Roman" w:eastAsia="Times New Roman" w:hAnsi="Times New Roman"/>
          <w:sz w:val="18"/>
          <w:szCs w:val="18"/>
          <w:u w:val="single" w:color="auto"/>
          <w:color w:val="0000FF"/>
        </w:rPr>
        <w:t>Note 7 – Shareholders’ Equity</w:t>
      </w:r>
      <w:r>
        <w:rPr>
          <w:rFonts w:ascii="Times New Roman" w:cs="Times New Roman" w:eastAsia="Times New Roman" w:hAnsi="Times New Roman"/>
          <w:sz w:val="18"/>
          <w:szCs w:val="18"/>
          <w:color w:val="auto"/>
        </w:rPr>
        <w:t xml:space="preserve"> for information on amounts recorded to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-26670</wp:posOffset>
            </wp:positionV>
            <wp:extent cx="1363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940"/>
        <w:spacing w:after="0"/>
        <w:tabs>
          <w:tab w:leader="none" w:pos="1052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205105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summarized financial information about the DallasNews Pension Plans.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16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0" w:type="dxa"/>
            <w:vAlign w:val="bottom"/>
          </w:tcPr>
          <w:p>
            <w:pPr>
              <w:spacing w:after="0"/>
              <w:rPr>
                <w:sz w:val="1"/>
                <w:szCs w:val="1"/>
                <w:color w:val="auto"/>
              </w:rPr>
            </w:pPr>
          </w:p>
        </w:tc>
      </w:tr>
      <w:tr>
        <w:trPr>
          <w:trHeight w:val="185"/>
        </w:trPr>
        <w:tc>
          <w:tcPr>
            <w:tcW w:w="59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2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0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2720" w:type="dxa"/>
            <w:vAlign w:val="bottom"/>
            <w:gridSpan w:val="2"/>
          </w:tcPr>
          <w:p>
            <w:pPr>
              <w:jc w:val="right"/>
              <w:ind w:right="152"/>
              <w:spacing w:after="0" w:line="18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169,544</w:t>
            </w:r>
          </w:p>
        </w:tc>
        <w:tc>
          <w:tcPr>
            <w:tcW w:w="160" w:type="dxa"/>
            <w:vAlign w:val="bottom"/>
          </w:tcPr>
          <w:p>
            <w:pPr>
              <w:spacing w:after="0"/>
              <w:rPr>
                <w:sz w:val="16"/>
                <w:szCs w:val="16"/>
                <w:color w:val="auto"/>
              </w:rPr>
            </w:pPr>
          </w:p>
        </w:tc>
        <w:tc>
          <w:tcPr>
            <w:tcW w:w="320" w:type="dxa"/>
            <w:vAlign w:val="bottom"/>
          </w:tcPr>
          <w:p>
            <w:pPr>
              <w:jc w:val="right"/>
              <w:ind w:right="132"/>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219,364</w:t>
            </w:r>
          </w:p>
        </w:tc>
        <w:tc>
          <w:tcPr>
            <w:tcW w:w="0" w:type="dxa"/>
            <w:vAlign w:val="bottom"/>
          </w:tcPr>
          <w:p>
            <w:pPr>
              <w:spacing w:after="0"/>
              <w:rPr>
                <w:sz w:val="1"/>
                <w:szCs w:val="1"/>
                <w:color w:val="auto"/>
              </w:rPr>
            </w:pPr>
          </w:p>
        </w:tc>
      </w:tr>
      <w:tr>
        <w:trPr>
          <w:trHeight w:val="186"/>
        </w:trPr>
        <w:tc>
          <w:tcPr>
            <w:tcW w:w="590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Interest cost</w:t>
            </w:r>
          </w:p>
        </w:tc>
        <w:tc>
          <w:tcPr>
            <w:tcW w:w="2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7,972</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5,311</w:t>
            </w:r>
          </w:p>
        </w:tc>
        <w:tc>
          <w:tcPr>
            <w:tcW w:w="0" w:type="dxa"/>
            <w:vAlign w:val="bottom"/>
          </w:tcPr>
          <w:p>
            <w:pPr>
              <w:spacing w:after="0"/>
              <w:rPr>
                <w:sz w:val="1"/>
                <w:szCs w:val="1"/>
                <w:color w:val="auto"/>
              </w:rPr>
            </w:pPr>
          </w:p>
        </w:tc>
      </w:tr>
      <w:tr>
        <w:trPr>
          <w:trHeight w:val="185"/>
        </w:trPr>
        <w:tc>
          <w:tcPr>
            <w:tcW w:w="590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Actuarial loss (gain)</w:t>
            </w:r>
          </w:p>
        </w:tc>
        <w:tc>
          <w:tcPr>
            <w:tcW w:w="2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2,212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(42,425)</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Benefit payments</w:t>
            </w:r>
          </w:p>
        </w:tc>
        <w:tc>
          <w:tcPr>
            <w:tcW w:w="2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186" w:lineRule="exact"/>
              <w:rPr>
                <w:sz w:val="20"/>
                <w:szCs w:val="20"/>
                <w:color w:val="auto"/>
              </w:rPr>
            </w:pPr>
            <w:r>
              <w:rPr>
                <w:rFonts w:ascii="Times New Roman" w:cs="Times New Roman" w:eastAsia="Times New Roman" w:hAnsi="Times New Roman"/>
                <w:sz w:val="18"/>
                <w:szCs w:val="18"/>
                <w:color w:val="auto"/>
              </w:rPr>
              <w:t>(12,648)</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(12,706)</w:t>
            </w:r>
          </w:p>
        </w:tc>
        <w:tc>
          <w:tcPr>
            <w:tcW w:w="0" w:type="dxa"/>
            <w:vAlign w:val="bottom"/>
          </w:tcPr>
          <w:p>
            <w:pPr>
              <w:spacing w:after="0"/>
              <w:rPr>
                <w:sz w:val="1"/>
                <w:szCs w:val="1"/>
                <w:color w:val="auto"/>
              </w:rPr>
            </w:pPr>
          </w:p>
        </w:tc>
      </w:tr>
      <w:tr>
        <w:trPr>
          <w:trHeight w:val="178"/>
        </w:trPr>
        <w:tc>
          <w:tcPr>
            <w:tcW w:w="5900" w:type="dxa"/>
            <w:vAlign w:val="bottom"/>
            <w:tcBorders>
              <w:top w:val="single" w:sz="8" w:color="CCEEFF"/>
              <w:bottom w:val="single" w:sz="8" w:color="CCEEFF"/>
            </w:tcBorders>
          </w:tcPr>
          <w:p>
            <w:pPr>
              <w:ind w:left="100"/>
              <w:spacing w:after="0" w:line="172" w:lineRule="exact"/>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2380" w:type="dxa"/>
            <w:vAlign w:val="bottom"/>
            <w:tcBorders>
              <w:top w:val="single" w:sz="8" w:color="CCEEFF"/>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167,080</w:t>
            </w:r>
          </w:p>
        </w:tc>
        <w:tc>
          <w:tcPr>
            <w:tcW w:w="160" w:type="dxa"/>
            <w:vAlign w:val="bottom"/>
            <w:tcBorders>
              <w:top w:val="single" w:sz="8" w:color="CCEEFF"/>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169,544</w:t>
            </w:r>
          </w:p>
        </w:tc>
        <w:tc>
          <w:tcPr>
            <w:tcW w:w="0" w:type="dxa"/>
            <w:vAlign w:val="bottom"/>
          </w:tcPr>
          <w:p>
            <w:pPr>
              <w:spacing w:after="0"/>
              <w:rPr>
                <w:sz w:val="1"/>
                <w:szCs w:val="1"/>
                <w:color w:val="auto"/>
              </w:rPr>
            </w:pPr>
          </w:p>
        </w:tc>
      </w:tr>
      <w:tr>
        <w:trPr>
          <w:trHeight w:val="186"/>
        </w:trPr>
        <w:tc>
          <w:tcPr>
            <w:tcW w:w="59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Change in Plan Assets</w:t>
            </w:r>
          </w:p>
        </w:tc>
        <w:tc>
          <w:tcPr>
            <w:tcW w:w="2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0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150,089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205,089</w:t>
            </w:r>
          </w:p>
        </w:tc>
        <w:tc>
          <w:tcPr>
            <w:tcW w:w="0" w:type="dxa"/>
            <w:vAlign w:val="bottom"/>
          </w:tcPr>
          <w:p>
            <w:pPr>
              <w:spacing w:after="0"/>
              <w:rPr>
                <w:sz w:val="1"/>
                <w:szCs w:val="1"/>
                <w:color w:val="auto"/>
              </w:rPr>
            </w:pPr>
          </w:p>
        </w:tc>
      </w:tr>
      <w:tr>
        <w:trPr>
          <w:trHeight w:val="186"/>
        </w:trPr>
        <w:tc>
          <w:tcPr>
            <w:tcW w:w="590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Return on plan assets</w:t>
            </w:r>
          </w:p>
        </w:tc>
        <w:tc>
          <w:tcPr>
            <w:tcW w:w="2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12,286</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(47,294)</w:t>
            </w:r>
          </w:p>
        </w:tc>
        <w:tc>
          <w:tcPr>
            <w:tcW w:w="0" w:type="dxa"/>
            <w:vAlign w:val="bottom"/>
          </w:tcPr>
          <w:p>
            <w:pPr>
              <w:spacing w:after="0"/>
              <w:rPr>
                <w:sz w:val="1"/>
                <w:szCs w:val="1"/>
                <w:color w:val="auto"/>
              </w:rPr>
            </w:pPr>
          </w:p>
        </w:tc>
      </w:tr>
      <w:tr>
        <w:trPr>
          <w:trHeight w:val="185"/>
        </w:trPr>
        <w:tc>
          <w:tcPr>
            <w:tcW w:w="590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Employer contributions</w:t>
            </w:r>
          </w:p>
        </w:tc>
        <w:tc>
          <w:tcPr>
            <w:tcW w:w="2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240"/>
              <w:spacing w:after="0" w:line="18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6"/>
                <w:szCs w:val="16"/>
                <w:color w:val="auto"/>
              </w:rPr>
            </w:pPr>
          </w:p>
        </w:tc>
        <w:tc>
          <w:tcPr>
            <w:tcW w:w="10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Benefit payments</w:t>
            </w:r>
          </w:p>
        </w:tc>
        <w:tc>
          <w:tcPr>
            <w:tcW w:w="2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186" w:lineRule="exact"/>
              <w:rPr>
                <w:sz w:val="20"/>
                <w:szCs w:val="20"/>
                <w:color w:val="auto"/>
              </w:rPr>
            </w:pPr>
            <w:r>
              <w:rPr>
                <w:rFonts w:ascii="Times New Roman" w:cs="Times New Roman" w:eastAsia="Times New Roman" w:hAnsi="Times New Roman"/>
                <w:sz w:val="18"/>
                <w:szCs w:val="18"/>
                <w:color w:val="auto"/>
              </w:rPr>
              <w:t>(12,648)</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(12,706)</w:t>
            </w:r>
          </w:p>
        </w:tc>
        <w:tc>
          <w:tcPr>
            <w:tcW w:w="0" w:type="dxa"/>
            <w:vAlign w:val="bottom"/>
          </w:tcPr>
          <w:p>
            <w:pPr>
              <w:spacing w:after="0"/>
              <w:rPr>
                <w:sz w:val="1"/>
                <w:szCs w:val="1"/>
                <w:color w:val="auto"/>
              </w:rPr>
            </w:pPr>
          </w:p>
        </w:tc>
      </w:tr>
      <w:tr>
        <w:trPr>
          <w:trHeight w:val="178"/>
        </w:trPr>
        <w:tc>
          <w:tcPr>
            <w:tcW w:w="5900" w:type="dxa"/>
            <w:vAlign w:val="bottom"/>
            <w:tcBorders>
              <w:top w:val="single" w:sz="8" w:color="CCEEFF"/>
              <w:bottom w:val="single" w:sz="8" w:color="CCEEFF"/>
            </w:tcBorders>
          </w:tcPr>
          <w:p>
            <w:pPr>
              <w:ind w:left="100"/>
              <w:spacing w:after="0" w:line="172" w:lineRule="exact"/>
              <w:rPr>
                <w:sz w:val="20"/>
                <w:szCs w:val="20"/>
                <w:color w:val="auto"/>
              </w:rPr>
            </w:pPr>
            <w:r>
              <w:rPr>
                <w:rFonts w:ascii="Times New Roman" w:cs="Times New Roman" w:eastAsia="Times New Roman" w:hAnsi="Times New Roman"/>
                <w:sz w:val="18"/>
                <w:szCs w:val="18"/>
                <w:color w:val="auto"/>
              </w:rPr>
              <w:t>Fair value of plan assets at end of year</w:t>
            </w:r>
          </w:p>
        </w:tc>
        <w:tc>
          <w:tcPr>
            <w:tcW w:w="2380" w:type="dxa"/>
            <w:vAlign w:val="bottom"/>
            <w:tcBorders>
              <w:top w:val="single" w:sz="8" w:color="CCEEFF"/>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149,727</w:t>
            </w:r>
          </w:p>
        </w:tc>
        <w:tc>
          <w:tcPr>
            <w:tcW w:w="160" w:type="dxa"/>
            <w:vAlign w:val="bottom"/>
            <w:tcBorders>
              <w:top w:val="single" w:sz="8" w:color="CCEEFF"/>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150,089</w:t>
            </w:r>
          </w:p>
        </w:tc>
        <w:tc>
          <w:tcPr>
            <w:tcW w:w="0" w:type="dxa"/>
            <w:vAlign w:val="bottom"/>
          </w:tcPr>
          <w:p>
            <w:pPr>
              <w:spacing w:after="0"/>
              <w:rPr>
                <w:sz w:val="1"/>
                <w:szCs w:val="1"/>
                <w:color w:val="auto"/>
              </w:rPr>
            </w:pPr>
          </w:p>
        </w:tc>
      </w:tr>
      <w:tr>
        <w:trPr>
          <w:trHeight w:val="186"/>
        </w:trPr>
        <w:tc>
          <w:tcPr>
            <w:tcW w:w="5900" w:type="dxa"/>
            <w:vAlign w:val="bottom"/>
            <w:tcBorders>
              <w:bottom w:val="single" w:sz="8" w:color="CCEEFF"/>
            </w:tcBorders>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Funded Status</w:t>
            </w:r>
          </w:p>
        </w:tc>
        <w:tc>
          <w:tcPr>
            <w:tcW w:w="23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52"/>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(17,353)</w:t>
            </w: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32"/>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(19,455)</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Amounts Recorded on the Balance Sheet</w:t>
            </w:r>
          </w:p>
        </w:tc>
        <w:tc>
          <w:tcPr>
            <w:tcW w:w="2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900" w:type="dxa"/>
            <w:vAlign w:val="bottom"/>
            <w:vMerge w:val="continue"/>
          </w:tcPr>
          <w:p>
            <w:pPr>
              <w:spacing w:after="0"/>
              <w:rPr>
                <w:sz w:val="14"/>
                <w:szCs w:val="14"/>
                <w:color w:val="auto"/>
              </w:rPr>
            </w:pPr>
          </w:p>
        </w:tc>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90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Long-term pension liabilities</w:t>
            </w:r>
          </w:p>
        </w:tc>
        <w:tc>
          <w:tcPr>
            <w:tcW w:w="2720" w:type="dxa"/>
            <w:vAlign w:val="bottom"/>
            <w:gridSpan w:val="2"/>
            <w:shd w:val="clear" w:color="auto" w:fill="CCEEFF"/>
          </w:tcPr>
          <w:p>
            <w:pPr>
              <w:jc w:val="right"/>
              <w:ind w:right="152"/>
              <w:spacing w:after="0" w:line="18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17,353</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2"/>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19,455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Accumulated Benefit Obligation</w:t>
            </w:r>
          </w:p>
        </w:tc>
        <w:tc>
          <w:tcPr>
            <w:tcW w:w="238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900" w:type="dxa"/>
            <w:vAlign w:val="bottom"/>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340" w:type="dxa"/>
            <w:vAlign w:val="bottom"/>
            <w:tcBorders>
              <w:bottom w:val="single" w:sz="8" w:color="auto"/>
            </w:tcBorders>
          </w:tcPr>
          <w:p>
            <w:pPr>
              <w:jc w:val="right"/>
              <w:ind w:right="152"/>
              <w:spacing w:after="0" w:line="165"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167,080</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132"/>
              <w:spacing w:after="0" w:line="165"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169,544</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Periodic Pension Expense (Benefit)</w:t>
      </w:r>
    </w:p>
    <w:p>
      <w:pPr>
        <w:spacing w:after="0" w:line="16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projected benefit obligations of the DallasNews Pension Plans are estimated using the FTSE Pension Discount Curve, which is based upon a portfolio of high-quality corporate debt securities with maturities that correlate to the expected timing of estimated benefit payments to the Pension Plans’ participants. Future estimated benefit payments are discounted to their present value at the appropriate yield curve spot rate to determine the projected benefit obligation outstanding at each year end. The single equivalent discount rate as of December 31, 2023, was 4.7 percent and 4.9 percent for December 31, 2022. The actuarial net losses in 2023 and significant gains in 2022 related to changes in the projected benefit obligation were primarily due to the movement in the discount rate.</w:t>
      </w:r>
    </w:p>
    <w:p>
      <w:pPr>
        <w:spacing w:after="0" w:line="14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Interest expense included in net periodic pension benefit is based on the FTSE Pension Discount Curve established at the beginning of the fiscal year. The discount rate for fiscal year 2023 and 2022 interest cost was 4.9 percent and 2.5 percent, respectively.</w:t>
      </w:r>
    </w:p>
    <w:p>
      <w:pPr>
        <w:spacing w:after="0" w:line="15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assumed a 4.9 percent and 2.5 percent long-term return on the Pension Plans’ assets in 2023 and 2022, respectively. This return is based upon historical returns of similar investment pools having asset allocations consistent with the expected allocations of the DallasNews Pension Plans. Investment strategies for the Pension Plans’ assets are based upon factors such as the effective duration of the actuarial liabilities and market risks.</w:t>
      </w:r>
    </w:p>
    <w:p>
      <w:pPr>
        <w:spacing w:after="0" w:line="14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Company’s estimates of net periodic pension expense or benefit are based on the expected return on plan assets, interest on the projected benefit obligations and the amortization of actuarial gains and losses that are deferred in accumulated other comprehensive loss. Participation in and accrual of new benefits to participants has been frozen since 2007 and, accordingly, on-going service costs are not a component of net periodic pension expense (benefit). For 2023, there are no unrecognized gains (losses) to amortize due to the total unrecognized gain (loss) falling below the amortization threshold. For 2022, based on the re-allocation of the Pension Plans’ assets, the Company assumed a lower rate of return on the assets resulting in net periodic pension expense.</w:t>
      </w:r>
    </w:p>
    <w:p>
      <w:pPr>
        <w:spacing w:after="0" w:line="1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table below sets forth components of net periodic pension expense (benefit), which are included in other income (loss), net in the Consolidated Statements of Operations.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2100" w:type="dxa"/>
            <w:vAlign w:val="bottom"/>
            <w:tcBorders>
              <w:top w:val="single" w:sz="8" w:color="auto"/>
              <w:bottom w:val="single" w:sz="8" w:color="auto"/>
            </w:tcBorders>
            <w:gridSpan w:val="3"/>
          </w:tcPr>
          <w:p>
            <w:pPr>
              <w:jc w:val="right"/>
              <w:ind w:right="421"/>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720" w:type="dxa"/>
            <w:vAlign w:val="bottom"/>
            <w:tcBorders>
              <w:top w:val="single" w:sz="8" w:color="auto"/>
              <w:bottom w:val="single" w:sz="8" w:color="auto"/>
            </w:tcBorders>
          </w:tcPr>
          <w:p>
            <w:pPr>
              <w:spacing w:after="0"/>
              <w:rPr>
                <w:sz w:val="16"/>
                <w:szCs w:val="16"/>
                <w:color w:val="auto"/>
              </w:rPr>
            </w:pPr>
          </w:p>
        </w:tc>
      </w:tr>
      <w:tr>
        <w:trPr>
          <w:trHeight w:val="179"/>
        </w:trPr>
        <w:tc>
          <w:tcPr>
            <w:tcW w:w="43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720" w:type="dxa"/>
            <w:vAlign w:val="bottom"/>
            <w:tcBorders>
              <w:bottom w:val="single" w:sz="8" w:color="auto"/>
            </w:tcBorders>
          </w:tcPr>
          <w:p>
            <w:pPr>
              <w:spacing w:after="0"/>
              <w:rPr>
                <w:sz w:val="15"/>
                <w:szCs w:val="15"/>
                <w:color w:val="auto"/>
              </w:rPr>
            </w:pPr>
          </w:p>
        </w:tc>
      </w:tr>
      <w:tr>
        <w:trPr>
          <w:trHeight w:val="186"/>
        </w:trPr>
        <w:tc>
          <w:tcPr>
            <w:tcW w:w="43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Interest cost</w:t>
            </w:r>
          </w:p>
        </w:tc>
        <w:tc>
          <w:tcPr>
            <w:tcW w:w="4080" w:type="dxa"/>
            <w:vAlign w:val="bottom"/>
            <w:gridSpan w:val="2"/>
            <w:shd w:val="clear" w:color="auto" w:fill="CCEEFF"/>
          </w:tcPr>
          <w:p>
            <w:pPr>
              <w:jc w:val="right"/>
              <w:ind w:right="1003"/>
              <w:spacing w:after="0" w:line="18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7,972</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21"/>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5,311</w:t>
            </w:r>
          </w:p>
        </w:tc>
      </w:tr>
      <w:tr>
        <w:trPr>
          <w:trHeight w:val="185"/>
        </w:trPr>
        <w:tc>
          <w:tcPr>
            <w:tcW w:w="434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Expected return on plans' assets</w:t>
            </w:r>
          </w:p>
        </w:tc>
        <w:tc>
          <w:tcPr>
            <w:tcW w:w="2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gridSpan w:val="2"/>
          </w:tcPr>
          <w:p>
            <w:pPr>
              <w:jc w:val="right"/>
              <w:ind w:right="240"/>
              <w:spacing w:after="0" w:line="186" w:lineRule="exact"/>
              <w:rPr>
                <w:sz w:val="20"/>
                <w:szCs w:val="20"/>
                <w:color w:val="auto"/>
              </w:rPr>
            </w:pPr>
            <w:r>
              <w:rPr>
                <w:rFonts w:ascii="Times New Roman" w:cs="Times New Roman" w:eastAsia="Times New Roman" w:hAnsi="Times New Roman"/>
                <w:sz w:val="18"/>
                <w:szCs w:val="18"/>
                <w:color w:val="auto"/>
              </w:rPr>
              <w:t>(8,875)</w:t>
            </w:r>
          </w:p>
        </w:tc>
        <w:tc>
          <w:tcPr>
            <w:tcW w:w="108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(4,949)</w:t>
            </w:r>
          </w:p>
        </w:tc>
      </w:tr>
      <w:tr>
        <w:trPr>
          <w:trHeight w:val="205"/>
        </w:trPr>
        <w:tc>
          <w:tcPr>
            <w:tcW w:w="43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Amortization of actuarial loss</w:t>
            </w:r>
          </w:p>
        </w:tc>
        <w:tc>
          <w:tcPr>
            <w:tcW w:w="2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18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526</w:t>
            </w:r>
          </w:p>
        </w:tc>
      </w:tr>
      <w:tr>
        <w:trPr>
          <w:trHeight w:val="172"/>
        </w:trPr>
        <w:tc>
          <w:tcPr>
            <w:tcW w:w="4340" w:type="dxa"/>
            <w:vAlign w:val="bottom"/>
            <w:tcBorders>
              <w:top w:val="single" w:sz="8" w:color="CCEEFF"/>
            </w:tcBorders>
          </w:tcPr>
          <w:p>
            <w:pPr>
              <w:spacing w:after="0" w:line="172" w:lineRule="exact"/>
              <w:rPr>
                <w:sz w:val="20"/>
                <w:szCs w:val="20"/>
                <w:color w:val="auto"/>
              </w:rPr>
            </w:pPr>
            <w:r>
              <w:rPr>
                <w:rFonts w:ascii="Times New Roman" w:cs="Times New Roman" w:eastAsia="Times New Roman" w:hAnsi="Times New Roman"/>
                <w:sz w:val="18"/>
                <w:szCs w:val="18"/>
                <w:color w:val="auto"/>
              </w:rPr>
              <w:t>Net periodic pension expense (benefit)</w:t>
            </w:r>
          </w:p>
        </w:tc>
        <w:tc>
          <w:tcPr>
            <w:tcW w:w="2920" w:type="dxa"/>
            <w:vAlign w:val="bottom"/>
            <w:tcBorders>
              <w:top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1003"/>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(903)</w:t>
            </w:r>
          </w:p>
        </w:tc>
        <w:tc>
          <w:tcPr>
            <w:tcW w:w="240" w:type="dxa"/>
            <w:vAlign w:val="bottom"/>
            <w:tcBorders>
              <w:top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921"/>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888</w:t>
            </w:r>
          </w:p>
        </w:tc>
      </w:tr>
      <w:tr>
        <w:trPr>
          <w:trHeight w:val="20"/>
        </w:trPr>
        <w:tc>
          <w:tcPr>
            <w:tcW w:w="4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82"/>
        </w:trPr>
        <w:tc>
          <w:tcPr>
            <w:tcW w:w="4340" w:type="dxa"/>
            <w:vAlign w:val="bottom"/>
          </w:tcPr>
          <w:p>
            <w:pPr>
              <w:spacing w:after="0"/>
              <w:rPr>
                <w:sz w:val="24"/>
                <w:szCs w:val="24"/>
                <w:color w:val="auto"/>
              </w:rPr>
            </w:pPr>
          </w:p>
        </w:tc>
        <w:tc>
          <w:tcPr>
            <w:tcW w:w="618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color w:val="auto"/>
              </w:rPr>
              <w:t>DallasNews Corporation 2023 Annual Report on Form 10-K</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PAGE 41</w:t>
            </w:r>
          </w:p>
        </w:tc>
      </w:tr>
      <w:tr>
        <w:trPr>
          <w:trHeight w:val="337"/>
        </w:trPr>
        <w:tc>
          <w:tcPr>
            <w:tcW w:w="43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17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Company is responsible for directing the investment strategies of the DallasNews Pension Plans’ assets. The investment strategies focus on asset class diversification, liquidity to meet benefit payments and an appropriate balance of long-term investment return and risks. In 2023, the Company reassessed its investment strategy and set the long-term targeted allocation of the Pension Plans’ assets to 40 percent in a growth portfolio and 60 percent in a liability hedging portfolio. In 2022, the long-term targeted allocation of the Pension Plans’ assets invested in equity and fixed income securities was approximately 5 percent and 95 percent, respectively. These targets are determined based on the effective duration of the actuarial liabilities, the expected long-term rate of return on assets, and expected market risks. Investment risk is continuously monitored and Pension Plans’ assets are rebalanced to target allocations to meet the Company’s strategy and the Pension Plans’ liquidity needs. At December 31, 2023, the Pension Plans’ assets in a growth portfolio and a liability hedging portfolio accounted for 39 percent and 61 percent of the total non-cash holdings, respectively.</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sets forth the DallasNews Pension Plans’ assets at fair value as of December 31, 2023 and 2022, with inputs used to develop fair value measurements.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4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4"/>
          </w:tcPr>
          <w:p>
            <w:pPr>
              <w:jc w:val="center"/>
              <w:ind w:left="198"/>
              <w:spacing w:after="0" w:line="135" w:lineRule="exact"/>
              <w:rPr>
                <w:sz w:val="20"/>
                <w:szCs w:val="20"/>
                <w:color w:val="auto"/>
              </w:rPr>
            </w:pPr>
            <w:r>
              <w:rPr>
                <w:rFonts w:ascii="Times New Roman" w:cs="Times New Roman" w:eastAsia="Times New Roman" w:hAnsi="Times New Roman"/>
                <w:sz w:val="14"/>
                <w:szCs w:val="14"/>
                <w:b w:val="1"/>
                <w:bCs w:val="1"/>
                <w:color w:val="auto"/>
              </w:rPr>
              <w:t>Quoted Price in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gridSpan w:val="6"/>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1"/>
                <w:szCs w:val="11"/>
                <w:color w:val="auto"/>
              </w:rPr>
            </w:pPr>
          </w:p>
        </w:tc>
        <w:tc>
          <w:tcPr>
            <w:tcW w:w="1180" w:type="dxa"/>
            <w:vAlign w:val="bottom"/>
            <w:gridSpan w:val="4"/>
          </w:tcPr>
          <w:p>
            <w:pPr>
              <w:jc w:val="center"/>
              <w:ind w:left="378"/>
              <w:spacing w:after="0" w:line="135"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Active‎</w:t>
            </w:r>
          </w:p>
        </w:tc>
        <w:tc>
          <w:tcPr>
            <w:tcW w:w="58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w w:val="98"/>
              </w:rPr>
              <w:t>Markets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6"/>
            <w:vMerge w:val="continue"/>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5"/>
          </w:tcPr>
          <w:p>
            <w:pPr>
              <w:jc w:val="center"/>
              <w:ind w:right="133"/>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5"/>
          </w:tcPr>
          <w:p>
            <w:pPr>
              <w:jc w:val="center"/>
              <w:ind w:right="132"/>
              <w:spacing w:after="0" w:line="146" w:lineRule="exact"/>
              <w:rPr>
                <w:sz w:val="20"/>
                <w:szCs w:val="20"/>
                <w:color w:val="auto"/>
              </w:rPr>
            </w:pPr>
            <w:r>
              <w:rPr>
                <w:rFonts w:ascii="Times New Roman" w:cs="Times New Roman" w:eastAsia="Times New Roman" w:hAnsi="Times New Roman"/>
                <w:sz w:val="14"/>
                <w:szCs w:val="14"/>
                <w:b w:val="1"/>
                <w:bCs w:val="1"/>
                <w:color w:val="auto"/>
              </w:rPr>
              <w:t>for‎ Identical Assets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4"/>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180" w:type="dxa"/>
            <w:vAlign w:val="bottom"/>
            <w:gridSpan w:val="4"/>
          </w:tcPr>
          <w:p>
            <w:pPr>
              <w:jc w:val="center"/>
              <w:ind w:left="378"/>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3"/>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4"/>
          </w:tcPr>
          <w:p>
            <w:pPr>
              <w:jc w:val="center"/>
              <w:ind w:left="198"/>
              <w:spacing w:after="0"/>
              <w:rPr>
                <w:sz w:val="20"/>
                <w:szCs w:val="20"/>
                <w:color w:val="auto"/>
              </w:rPr>
            </w:pPr>
            <w:r>
              <w:rPr>
                <w:rFonts w:ascii="Times New Roman" w:cs="Times New Roman" w:eastAsia="Times New Roman" w:hAnsi="Times New Roman"/>
                <w:sz w:val="14"/>
                <w:szCs w:val="14"/>
                <w:b w:val="1"/>
                <w:bCs w:val="1"/>
                <w:color w:val="auto"/>
              </w:rPr>
              <w:t>‎(Level I)</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(Level‎</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II)</w:t>
            </w:r>
          </w:p>
        </w:tc>
        <w:tc>
          <w:tcPr>
            <w:tcW w:w="220" w:type="dxa"/>
            <w:vAlign w:val="bottom"/>
          </w:tcPr>
          <w:p>
            <w:pPr>
              <w:spacing w:after="0"/>
              <w:rPr>
                <w:sz w:val="16"/>
                <w:szCs w:val="16"/>
                <w:color w:val="auto"/>
              </w:rPr>
            </w:pPr>
          </w:p>
        </w:tc>
        <w:tc>
          <w:tcPr>
            <w:tcW w:w="9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6"/>
              </w:rPr>
              <w:t>(Level‎</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III)</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75"/>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73"/>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58"/>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1080" w:type="dxa"/>
            <w:vAlign w:val="bottom"/>
            <w:tcBorders>
              <w:top w:val="single" w:sz="8" w:color="auto"/>
            </w:tcBorders>
            <w:gridSpan w:val="4"/>
          </w:tcPr>
          <w:p>
            <w:pPr>
              <w:jc w:val="right"/>
              <w:ind w:right="272"/>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57"/>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275"/>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ind w:left="140"/>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40"/>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0" w:type="dxa"/>
            <w:vAlign w:val="bottom"/>
          </w:tcPr>
          <w:p>
            <w:pPr>
              <w:spacing w:after="0"/>
              <w:rPr>
                <w:sz w:val="1"/>
                <w:szCs w:val="1"/>
                <w:color w:val="auto"/>
              </w:rPr>
            </w:pPr>
          </w:p>
        </w:tc>
      </w:tr>
      <w:tr>
        <w:trPr>
          <w:trHeight w:val="186"/>
        </w:trPr>
        <w:tc>
          <w:tcPr>
            <w:tcW w:w="2660" w:type="dxa"/>
            <w:vAlign w:val="bottom"/>
            <w:tcBorders>
              <w:top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Cash and Money Market Funds</w:t>
            </w:r>
          </w:p>
        </w:tc>
        <w:tc>
          <w:tcPr>
            <w:tcW w:w="340" w:type="dxa"/>
            <w:vAlign w:val="bottom"/>
            <w:tcBorders>
              <w:top w:val="single" w:sz="8" w:color="auto"/>
            </w:tcBorders>
            <w:gridSpan w:val="2"/>
            <w:shd w:val="clear" w:color="auto" w:fill="CCEEFF"/>
          </w:tcPr>
          <w:p>
            <w:pPr>
              <w:jc w:val="right"/>
              <w:ind w:right="57"/>
              <w:spacing w:after="0" w:line="18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3,184</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7"/>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1,608</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7"/>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3,184</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ind w:right="321"/>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1,608</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7"/>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2"/>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540"/>
              <w:spacing w:after="0" w:line="18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gridSpan w:val="2"/>
            <w:shd w:val="clear" w:color="auto" w:fill="CCEEFF"/>
          </w:tcPr>
          <w:p>
            <w:pPr>
              <w:jc w:val="right"/>
              <w:ind w:right="169"/>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440"/>
              <w:spacing w:after="0" w:line="18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6"/>
        </w:trPr>
        <w:tc>
          <w:tcPr>
            <w:tcW w:w="266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Equity Funds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6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U.S. equity securities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3,666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3,666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40"/>
              <w:spacing w:after="0" w:line="18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ind w:left="440"/>
              <w:spacing w:after="0" w:line="18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6"/>
        </w:trPr>
        <w:tc>
          <w:tcPr>
            <w:tcW w:w="266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International equity securities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2,856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2,856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540"/>
              <w:spacing w:after="0" w:line="18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5"/>
        </w:trPr>
        <w:tc>
          <w:tcPr>
            <w:tcW w:w="266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Global equity</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48,715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48,715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line="18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40"/>
              <w:spacing w:after="0" w:line="18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ind w:left="440"/>
              <w:spacing w:after="0" w:line="18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6"/>
        </w:trPr>
        <w:tc>
          <w:tcPr>
            <w:tcW w:w="266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Fixed Income Funds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660" w:type="dxa"/>
            <w:vAlign w:val="bottom"/>
            <w:shd w:val="clear" w:color="auto" w:fill="CCEEFF"/>
          </w:tcPr>
          <w:p>
            <w:pPr>
              <w:ind w:left="100"/>
              <w:spacing w:after="0" w:line="154" w:lineRule="exact"/>
              <w:rPr>
                <w:sz w:val="20"/>
                <w:szCs w:val="20"/>
                <w:color w:val="auto"/>
              </w:rPr>
            </w:pPr>
            <w:r>
              <w:rPr>
                <w:rFonts w:ascii="Times New Roman" w:cs="Times New Roman" w:eastAsia="Times New Roman" w:hAnsi="Times New Roman"/>
                <w:sz w:val="17"/>
                <w:szCs w:val="17"/>
                <w:color w:val="auto"/>
              </w:rPr>
              <w:t>Domestic corporate and</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6"/>
        </w:trPr>
        <w:tc>
          <w:tcPr>
            <w:tcW w:w="266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Domestic corporate debt securities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69,243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69,243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540"/>
              <w:spacing w:after="0" w:line="18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440"/>
              <w:spacing w:after="0" w:line="18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4"/>
        </w:trPr>
        <w:tc>
          <w:tcPr>
            <w:tcW w:w="2660" w:type="dxa"/>
            <w:vAlign w:val="bottom"/>
            <w:shd w:val="clear" w:color="auto" w:fill="CCEEFF"/>
          </w:tcPr>
          <w:p>
            <w:pPr>
              <w:ind w:left="100"/>
              <w:spacing w:after="0" w:line="154" w:lineRule="exact"/>
              <w:rPr>
                <w:sz w:val="20"/>
                <w:szCs w:val="20"/>
                <w:color w:val="auto"/>
              </w:rPr>
            </w:pPr>
            <w:r>
              <w:rPr>
                <w:rFonts w:ascii="Times New Roman" w:cs="Times New Roman" w:eastAsia="Times New Roman" w:hAnsi="Times New Roman"/>
                <w:sz w:val="17"/>
                <w:szCs w:val="17"/>
                <w:color w:val="auto"/>
              </w:rPr>
              <w:t>International corporate and</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4"/>
        </w:trPr>
        <w:tc>
          <w:tcPr>
            <w:tcW w:w="2660" w:type="dxa"/>
            <w:vAlign w:val="bottom"/>
          </w:tcPr>
          <w:p>
            <w:pPr>
              <w:ind w:left="100"/>
              <w:spacing w:after="0" w:line="154" w:lineRule="exact"/>
              <w:rPr>
                <w:sz w:val="20"/>
                <w:szCs w:val="20"/>
                <w:color w:val="auto"/>
              </w:rPr>
            </w:pPr>
            <w:r>
              <w:rPr>
                <w:rFonts w:ascii="Times New Roman" w:cs="Times New Roman" w:eastAsia="Times New Roman" w:hAnsi="Times New Roman"/>
                <w:sz w:val="17"/>
                <w:szCs w:val="17"/>
                <w:color w:val="auto"/>
              </w:rPr>
              <w:t>Global corporate and government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debt securities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266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2,658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2,658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18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line="18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18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2660" w:type="dxa"/>
            <w:vAlign w:val="bottom"/>
            <w:tcBorders>
              <w:top w:val="single" w:sz="8" w:color="CCEEFF"/>
            </w:tcBorders>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57"/>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149,727</w:t>
            </w: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57"/>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150,089</w:t>
            </w: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57"/>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3,184</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321"/>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1,608</w:t>
            </w: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57"/>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146,543</w:t>
            </w: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148,481</w:t>
            </w: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32"/>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5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auto"/>
              <w:bottom w:val="single" w:sz="8" w:color="auto"/>
            </w:tcBorders>
            <w:gridSpan w:val="2"/>
          </w:tcPr>
          <w:p>
            <w:pPr>
              <w:jc w:val="right"/>
              <w:ind w:right="169"/>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ind w:left="4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222222"/>
        </w:rPr>
        <w:t>Inputs and valuation techniques used to measure the fair value of Pension Plans’ assets vary according to the type of asset being valued. Cash and money market funds are designated as Level I. Remaining investments are in commingled funds and fair values are determined by the fund manager primarily based upon closing market quotes of the assets. Equity securities held through units in these funds are monitored as to issuer and industry. As of December 31, 2023, there were no significant concentrations of equity or debt securities in any single issuer or industry.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Company’s expected future pension benefit payments as of December 31, 2023.</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40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317"/>
              <w:spacing w:after="0" w:line="148" w:lineRule="exact"/>
              <w:rPr>
                <w:sz w:val="20"/>
                <w:szCs w:val="20"/>
                <w:color w:val="auto"/>
              </w:rPr>
            </w:pPr>
            <w:r>
              <w:rPr>
                <w:rFonts w:ascii="Times New Roman" w:cs="Times New Roman" w:eastAsia="Times New Roman" w:hAnsi="Times New Roman"/>
                <w:sz w:val="14"/>
                <w:szCs w:val="14"/>
                <w:b w:val="1"/>
                <w:bCs w:val="1"/>
                <w:color w:val="auto"/>
              </w:rPr>
              <w:t>Expected</w:t>
            </w:r>
          </w:p>
        </w:tc>
        <w:tc>
          <w:tcPr>
            <w:tcW w:w="20" w:type="dxa"/>
            <w:vAlign w:val="bottom"/>
          </w:tcPr>
          <w:p>
            <w:pPr>
              <w:spacing w:after="0"/>
              <w:rPr>
                <w:sz w:val="12"/>
                <w:szCs w:val="12"/>
                <w:color w:val="auto"/>
              </w:rPr>
            </w:pPr>
          </w:p>
        </w:tc>
      </w:tr>
      <w:tr>
        <w:trPr>
          <w:trHeight w:val="159"/>
        </w:trPr>
        <w:tc>
          <w:tcPr>
            <w:tcW w:w="340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gridSpan w:val="2"/>
          </w:tcPr>
          <w:p>
            <w:pPr>
              <w:jc w:val="center"/>
              <w:ind w:right="440"/>
              <w:spacing w:after="0" w:line="159" w:lineRule="exact"/>
              <w:rPr>
                <w:sz w:val="20"/>
                <w:szCs w:val="20"/>
                <w:color w:val="auto"/>
              </w:rPr>
            </w:pPr>
            <w:r>
              <w:rPr>
                <w:rFonts w:ascii="Times New Roman" w:cs="Times New Roman" w:eastAsia="Times New Roman" w:hAnsi="Times New Roman"/>
                <w:sz w:val="14"/>
                <w:szCs w:val="14"/>
                <w:b w:val="1"/>
                <w:bCs w:val="1"/>
                <w:color w:val="auto"/>
                <w:w w:val="98"/>
              </w:rPr>
              <w:t>‎Benefit</w:t>
            </w:r>
          </w:p>
        </w:tc>
      </w:tr>
      <w:tr>
        <w:trPr>
          <w:trHeight w:val="190"/>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Payment year</w:t>
            </w:r>
          </w:p>
        </w:tc>
        <w:tc>
          <w:tcPr>
            <w:tcW w:w="6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‎Payments</w:t>
            </w:r>
          </w:p>
        </w:tc>
      </w:tr>
      <w:tr>
        <w:trPr>
          <w:trHeight w:val="185"/>
        </w:trPr>
        <w:tc>
          <w:tcPr>
            <w:tcW w:w="3400" w:type="dxa"/>
            <w:vAlign w:val="bottom"/>
            <w:tcBorders>
              <w:top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2024</w:t>
            </w:r>
          </w:p>
        </w:tc>
        <w:tc>
          <w:tcPr>
            <w:tcW w:w="6840" w:type="dxa"/>
            <w:vAlign w:val="bottom"/>
            <w:tcBorders>
              <w:top w:val="single" w:sz="8" w:color="auto"/>
            </w:tcBorders>
            <w:gridSpan w:val="2"/>
            <w:shd w:val="clear" w:color="auto" w:fill="CCEEFF"/>
          </w:tcPr>
          <w:p>
            <w:pPr>
              <w:jc w:val="right"/>
              <w:ind w:right="320"/>
              <w:spacing w:after="0" w:line="18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14,095</w:t>
            </w:r>
          </w:p>
        </w:tc>
        <w:tc>
          <w:tcPr>
            <w:tcW w:w="20" w:type="dxa"/>
            <w:vAlign w:val="bottom"/>
          </w:tcPr>
          <w:p>
            <w:pPr>
              <w:spacing w:after="0"/>
              <w:rPr>
                <w:sz w:val="16"/>
                <w:szCs w:val="16"/>
                <w:color w:val="auto"/>
              </w:rPr>
            </w:pPr>
          </w:p>
        </w:tc>
      </w:tr>
      <w:tr>
        <w:trPr>
          <w:trHeight w:val="185"/>
        </w:trPr>
        <w:tc>
          <w:tcPr>
            <w:tcW w:w="340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2025</w:t>
            </w:r>
          </w:p>
        </w:tc>
        <w:tc>
          <w:tcPr>
            <w:tcW w:w="6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14,017</w:t>
            </w:r>
          </w:p>
        </w:tc>
        <w:tc>
          <w:tcPr>
            <w:tcW w:w="20" w:type="dxa"/>
            <w:vAlign w:val="bottom"/>
          </w:tcPr>
          <w:p>
            <w:pPr>
              <w:spacing w:after="0"/>
              <w:rPr>
                <w:sz w:val="16"/>
                <w:szCs w:val="16"/>
                <w:color w:val="auto"/>
              </w:rPr>
            </w:pPr>
          </w:p>
        </w:tc>
      </w:tr>
      <w:tr>
        <w:trPr>
          <w:trHeight w:val="186"/>
        </w:trPr>
        <w:tc>
          <w:tcPr>
            <w:tcW w:w="34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2026</w:t>
            </w:r>
          </w:p>
        </w:tc>
        <w:tc>
          <w:tcPr>
            <w:tcW w:w="6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13,819</w:t>
            </w:r>
          </w:p>
        </w:tc>
        <w:tc>
          <w:tcPr>
            <w:tcW w:w="20" w:type="dxa"/>
            <w:vAlign w:val="bottom"/>
          </w:tcPr>
          <w:p>
            <w:pPr>
              <w:spacing w:after="0"/>
              <w:rPr>
                <w:sz w:val="16"/>
                <w:szCs w:val="16"/>
                <w:color w:val="auto"/>
              </w:rPr>
            </w:pPr>
          </w:p>
        </w:tc>
      </w:tr>
      <w:tr>
        <w:trPr>
          <w:trHeight w:val="185"/>
        </w:trPr>
        <w:tc>
          <w:tcPr>
            <w:tcW w:w="340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2027</w:t>
            </w:r>
          </w:p>
        </w:tc>
        <w:tc>
          <w:tcPr>
            <w:tcW w:w="6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13,629</w:t>
            </w:r>
          </w:p>
        </w:tc>
        <w:tc>
          <w:tcPr>
            <w:tcW w:w="20" w:type="dxa"/>
            <w:vAlign w:val="bottom"/>
          </w:tcPr>
          <w:p>
            <w:pPr>
              <w:spacing w:after="0"/>
              <w:rPr>
                <w:sz w:val="16"/>
                <w:szCs w:val="16"/>
                <w:color w:val="auto"/>
              </w:rPr>
            </w:pPr>
          </w:p>
        </w:tc>
      </w:tr>
      <w:tr>
        <w:trPr>
          <w:trHeight w:val="185"/>
        </w:trPr>
        <w:tc>
          <w:tcPr>
            <w:tcW w:w="34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2028</w:t>
            </w:r>
          </w:p>
        </w:tc>
        <w:tc>
          <w:tcPr>
            <w:tcW w:w="6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13,362</w:t>
            </w:r>
          </w:p>
        </w:tc>
        <w:tc>
          <w:tcPr>
            <w:tcW w:w="20" w:type="dxa"/>
            <w:vAlign w:val="bottom"/>
          </w:tcPr>
          <w:p>
            <w:pPr>
              <w:spacing w:after="0"/>
              <w:rPr>
                <w:sz w:val="16"/>
                <w:szCs w:val="16"/>
                <w:color w:val="auto"/>
              </w:rPr>
            </w:pPr>
          </w:p>
        </w:tc>
      </w:tr>
      <w:tr>
        <w:trPr>
          <w:trHeight w:val="23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2029 - 2033</w:t>
            </w:r>
          </w:p>
        </w:tc>
        <w:tc>
          <w:tcPr>
            <w:tcW w:w="6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61,578</w:t>
            </w:r>
          </w:p>
        </w:tc>
        <w:tc>
          <w:tcPr>
            <w:tcW w:w="20" w:type="dxa"/>
            <w:vAlign w:val="bottom"/>
          </w:tcPr>
          <w:p>
            <w:pPr>
              <w:spacing w:after="0"/>
              <w:rPr>
                <w:sz w:val="20"/>
                <w:szCs w:val="20"/>
                <w:color w:val="auto"/>
              </w:rPr>
            </w:pPr>
          </w:p>
        </w:tc>
      </w:tr>
      <w:tr>
        <w:trPr>
          <w:trHeight w:val="273"/>
        </w:trPr>
        <w:tc>
          <w:tcPr>
            <w:tcW w:w="3400" w:type="dxa"/>
            <w:vAlign w:val="bottom"/>
          </w:tcPr>
          <w:p>
            <w:pPr>
              <w:spacing w:after="0"/>
              <w:rPr>
                <w:sz w:val="23"/>
                <w:szCs w:val="23"/>
                <w:color w:val="auto"/>
              </w:rPr>
            </w:pPr>
          </w:p>
        </w:tc>
        <w:tc>
          <w:tcPr>
            <w:tcW w:w="6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DallasNews Corporation 2023 Annual Report on Form 10-K</w:t>
            </w: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w w:val="96"/>
              </w:rPr>
              <w:t>PAGE 42</w:t>
            </w:r>
          </w:p>
        </w:tc>
      </w:tr>
      <w:tr>
        <w:trPr>
          <w:trHeight w:val="337"/>
        </w:trPr>
        <w:tc>
          <w:tcPr>
            <w:tcW w:w="340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3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currently does not expect to make contributions to the DallasNews Pension Plans in 2024 and no contributions are required to these plans in 2024 under ERISA; however, certain events or circumstances that in most instances are beyond the Company’s control could result in future mandatory contributions.</w:t>
      </w:r>
    </w:p>
    <w:p>
      <w:pPr>
        <w:spacing w:after="0" w:line="15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Other defined benefit plans. </w:t>
      </w:r>
      <w:r>
        <w:rPr>
          <w:rFonts w:ascii="Times New Roman" w:cs="Times New Roman" w:eastAsia="Times New Roman" w:hAnsi="Times New Roman"/>
          <w:sz w:val="18"/>
          <w:szCs w:val="18"/>
          <w:color w:val="auto"/>
        </w:rPr>
        <w:t>DallasNews also sponsors unfunded other post-employment benefit (the “OPEB”) plans, which provide health and life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insurance benefits for certain retired employees. These plans were frozen subsequent to the separation from the Company’s former parent company; therefore, no future benefits accrue and on-going service costs are not a component of net periodic benefit cost. The Company recorded a liability of $996 and $982 related to the OPEB plans as of December 31, 2023 and 2022, respectively. A net periodic benefit cost of $4 and $22 in 2023 and 2022, respectively, was recorded to other income (loss), net. The net periodic benefit cost primarily represents amortization of actuarial gains (losses) and prior service costs, offset by interest expense associated with the actuarial liability. Actuarial gains (losses) of $(26) and $322 were recorded to other comprehensive income (loss) in 2023 and 2022, respectively; see </w:t>
      </w:r>
      <w:r>
        <w:rPr>
          <w:rFonts w:ascii="Times New Roman" w:cs="Times New Roman" w:eastAsia="Times New Roman" w:hAnsi="Times New Roman"/>
          <w:sz w:val="18"/>
          <w:szCs w:val="18"/>
          <w:u w:val="single" w:color="auto"/>
          <w:color w:val="0000FF"/>
        </w:rPr>
        <w:t>Note 7 – Shareholders’ Equity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1245870</wp:posOffset>
            </wp:positionH>
            <wp:positionV relativeFrom="paragraph">
              <wp:posOffset>-23495</wp:posOffset>
            </wp:positionV>
            <wp:extent cx="13639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2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b w:val="1"/>
          <w:bCs w:val="1"/>
          <w:color w:val="auto"/>
        </w:rPr>
        <w:t xml:space="preserve">Defined Contribution Plans. </w:t>
      </w:r>
      <w:r>
        <w:rPr>
          <w:rFonts w:ascii="Times New Roman" w:cs="Times New Roman" w:eastAsia="Times New Roman" w:hAnsi="Times New Roman"/>
          <w:sz w:val="18"/>
          <w:szCs w:val="18"/>
          <w:color w:val="auto"/>
        </w:rPr>
        <w:t>The DallasNews Savings Plan (the “Savings Plan”), a defined contribution 401(k) plan, covers substantially all employees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DallasNews. Participants may elect to contribute a portion of their pretax compensation as provided by the Savings Plan and the Internal Revenue Code. Employees can contribute up to 100 percent of their annual eligible compensation less required withholdings and deductions up to statutory limits. The Company provides an ongoing dollar-for-dollar match of eligible employee contributions, up to 1.5 percent of the employees’ compensation. The Company recorded expense of $716 and $739 in 2023 and 2022, respectively, for matching contributions to the Savings Plan.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7: Shareholders’ Equity</w:t>
      </w:r>
    </w:p>
    <w:p>
      <w:pPr>
        <w:spacing w:after="0" w:line="177" w:lineRule="exact"/>
        <w:rPr>
          <w:sz w:val="20"/>
          <w:szCs w:val="20"/>
          <w:color w:val="auto"/>
        </w:rPr>
      </w:pPr>
    </w:p>
    <w:p>
      <w:pPr>
        <w:ind w:right="52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Quarterly dividends returned $3,426 and $11,454 to shareholders in 2023 and 2022, respectively. In August 2022, the Company’s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declared a special, one-time $1.50 per share dividend, returning $8,029 to shareholders.</w:t>
      </w:r>
    </w:p>
    <w:p>
      <w:pPr>
        <w:spacing w:after="0" w:line="1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December 7, 2023, the Company’s board of directors declared a $0.16 per share dividend to shareholders of record as of the close of business on February 9, 2024, paid on March 1, 2024.</w:t>
      </w:r>
    </w:p>
    <w:p>
      <w:pPr>
        <w:spacing w:after="0" w:line="14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Outstanding Shares. </w:t>
      </w:r>
      <w:r>
        <w:rPr>
          <w:rFonts w:ascii="Times New Roman" w:cs="Times New Roman" w:eastAsia="Times New Roman" w:hAnsi="Times New Roman"/>
          <w:sz w:val="18"/>
          <w:szCs w:val="18"/>
          <w:color w:val="auto"/>
        </w:rPr>
        <w:t>The Company had Series A and Series B common stock outstanding of 4,737,852 and 614,638, respectively, net of treasury shares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2023. At December 31, 2022, the Company had Series A and Series B common stock outstanding of 4,737,772 and 614,718, respectively, net of treasury shares.</w:t>
      </w:r>
    </w:p>
    <w:p>
      <w:pPr>
        <w:spacing w:after="0" w:line="15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Accumulated Other Comprehensive Loss. </w:t>
      </w:r>
      <w:r>
        <w:rPr>
          <w:rFonts w:ascii="Times New Roman" w:cs="Times New Roman" w:eastAsia="Times New Roman" w:hAnsi="Times New Roman"/>
          <w:sz w:val="18"/>
          <w:szCs w:val="18"/>
          <w:color w:val="auto"/>
        </w:rPr>
        <w:t>Accumulated other comprehensive loss consists of actuarial gains and losses attributable to the DallasNews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Pension Plans, gains and losses resulting from Pension Plans’ amendments and other actuarial experience attributable to OPEB plans. The Company records amortization of the components of accumulated other comprehensive loss in other income (loss), net in its Consolidated Statements of Operations. Gains and losses are amortized over the weighted average remaining life expectancy of the OPEB plans and Pension Plans’ participants.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sets forth the changes in accumulated other comprehensive loss, net of tax, as presented in the Company’s consolidated financial statements.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580" w:type="dxa"/>
            <w:vAlign w:val="bottom"/>
            <w:tcBorders>
              <w:top w:val="single" w:sz="8" w:color="auto"/>
              <w:bottom w:val="single" w:sz="8" w:color="auto"/>
            </w:tcBorders>
            <w:gridSpan w:val="6"/>
          </w:tcPr>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1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9"/>
              </w:rPr>
              <w:t>2023</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i w:val="1"/>
                <w:iCs w:val="1"/>
                <w:color w:val="auto"/>
                <w:w w:val="99"/>
              </w:rPr>
              <w:t>2022</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w w:val="98"/>
              </w:rPr>
              <w:t>Defined</w:t>
            </w:r>
          </w:p>
        </w:tc>
        <w:tc>
          <w:tcPr>
            <w:tcW w:w="140" w:type="dxa"/>
            <w:vAlign w:val="bottom"/>
          </w:tcPr>
          <w:p>
            <w:pPr>
              <w:spacing w:after="0"/>
              <w:rPr>
                <w:sz w:val="11"/>
                <w:szCs w:val="11"/>
                <w:color w:val="auto"/>
              </w:rPr>
            </w:pPr>
          </w:p>
        </w:tc>
        <w:tc>
          <w:tcPr>
            <w:tcW w:w="108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4"/>
                <w:szCs w:val="14"/>
                <w:b w:val="1"/>
                <w:bCs w:val="1"/>
                <w:color w:val="auto"/>
              </w:rPr>
              <w:t>Other post-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w w:val="98"/>
              </w:rPr>
              <w:t>Defined</w:t>
            </w:r>
          </w:p>
        </w:tc>
        <w:tc>
          <w:tcPr>
            <w:tcW w:w="220" w:type="dxa"/>
            <w:vAlign w:val="bottom"/>
          </w:tcPr>
          <w:p>
            <w:pPr>
              <w:spacing w:after="0"/>
              <w:rPr>
                <w:sz w:val="11"/>
                <w:szCs w:val="11"/>
                <w:color w:val="auto"/>
              </w:rPr>
            </w:pPr>
          </w:p>
        </w:tc>
        <w:tc>
          <w:tcPr>
            <w:tcW w:w="1020" w:type="dxa"/>
            <w:vAlign w:val="bottom"/>
          </w:tcPr>
          <w:p>
            <w:pPr>
              <w:jc w:val="center"/>
              <w:ind w:right="118"/>
              <w:spacing w:after="0" w:line="135" w:lineRule="exact"/>
              <w:rPr>
                <w:sz w:val="20"/>
                <w:szCs w:val="20"/>
                <w:color w:val="auto"/>
              </w:rPr>
            </w:pPr>
            <w:r>
              <w:rPr>
                <w:rFonts w:ascii="Times New Roman" w:cs="Times New Roman" w:eastAsia="Times New Roman" w:hAnsi="Times New Roman"/>
                <w:sz w:val="14"/>
                <w:szCs w:val="14"/>
                <w:b w:val="1"/>
                <w:bCs w:val="1"/>
                <w:color w:val="auto"/>
              </w:rPr>
              <w:t>Other post-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460" w:type="dxa"/>
            <w:vAlign w:val="bottom"/>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w w:val="96"/>
              </w:rPr>
              <w:t>benefit‎</w:t>
            </w:r>
          </w:p>
        </w:tc>
        <w:tc>
          <w:tcPr>
            <w:tcW w:w="7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480" w:type="dxa"/>
            <w:vAlign w:val="bottom"/>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benefit‎</w:t>
            </w:r>
          </w:p>
        </w:tc>
        <w:tc>
          <w:tcPr>
            <w:tcW w:w="760" w:type="dxa"/>
            <w:vAlign w:val="bottom"/>
            <w:gridSpan w:val="2"/>
          </w:tcPr>
          <w:p>
            <w:pPr>
              <w:jc w:val="right"/>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pension</w:t>
            </w:r>
          </w:p>
        </w:tc>
        <w:tc>
          <w:tcPr>
            <w:tcW w:w="220" w:type="dxa"/>
            <w:vAlign w:val="bottom"/>
          </w:tcPr>
          <w:p>
            <w:pPr>
              <w:spacing w:after="0"/>
              <w:rPr>
                <w:sz w:val="12"/>
                <w:szCs w:val="12"/>
                <w:color w:val="auto"/>
              </w:rPr>
            </w:pPr>
          </w:p>
        </w:tc>
        <w:tc>
          <w:tcPr>
            <w:tcW w:w="10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4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0" w:type="dxa"/>
            <w:vAlign w:val="bottom"/>
          </w:tcPr>
          <w:p>
            <w:pPr>
              <w:spacing w:after="0"/>
              <w:rPr>
                <w:sz w:val="1"/>
                <w:szCs w:val="1"/>
                <w:color w:val="auto"/>
              </w:rPr>
            </w:pPr>
          </w:p>
        </w:tc>
      </w:tr>
      <w:tr>
        <w:trPr>
          <w:trHeight w:val="185"/>
        </w:trPr>
        <w:tc>
          <w:tcPr>
            <w:tcW w:w="2640" w:type="dxa"/>
            <w:vAlign w:val="bottom"/>
            <w:tcBorders>
              <w:top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Balance, beginning of period</w:t>
            </w:r>
          </w:p>
        </w:tc>
        <w:tc>
          <w:tcPr>
            <w:tcW w:w="840" w:type="dxa"/>
            <w:vAlign w:val="bottom"/>
            <w:tcBorders>
              <w:top w:val="single" w:sz="8" w:color="auto"/>
            </w:tcBorders>
            <w:gridSpan w:val="2"/>
            <w:shd w:val="clear" w:color="auto" w:fill="CCEEFF"/>
          </w:tcPr>
          <w:p>
            <w:pPr>
              <w:jc w:val="right"/>
              <w:ind w:right="97"/>
              <w:spacing w:after="0" w:line="18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(41,380)</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w w:val="97"/>
              </w:rPr>
              <w:t>(41,777)</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397</w:t>
            </w: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7"/>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(32,406)</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w w:val="97"/>
              </w:rPr>
              <w:t>(32,485)</w:t>
            </w: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2"/>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4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Amortization</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gridSpan w:val="2"/>
          </w:tcPr>
          <w:p>
            <w:pPr>
              <w:jc w:val="right"/>
              <w:ind w:right="220"/>
              <w:spacing w:after="0" w:line="18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60"/>
              <w:spacing w:after="0" w:line="186" w:lineRule="exact"/>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522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526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4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Actuarial gains (losses)</w:t>
            </w: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1,173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1,199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186" w:lineRule="exact"/>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(9,496)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186" w:lineRule="exact"/>
              <w:rPr>
                <w:sz w:val="20"/>
                <w:szCs w:val="20"/>
                <w:color w:val="auto"/>
              </w:rPr>
            </w:pPr>
            <w:r>
              <w:rPr>
                <w:rFonts w:ascii="Times New Roman" w:cs="Times New Roman" w:eastAsia="Times New Roman" w:hAnsi="Times New Roman"/>
                <w:sz w:val="18"/>
                <w:szCs w:val="18"/>
                <w:color w:val="auto"/>
              </w:rPr>
              <w:t>(9,818)</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640" w:type="dxa"/>
            <w:vAlign w:val="bottom"/>
            <w:tcBorders>
              <w:top w:val="single" w:sz="8" w:color="CCEEFF"/>
            </w:tcBorders>
          </w:tcPr>
          <w:p>
            <w:pPr>
              <w:spacing w:after="0" w:line="172" w:lineRule="exact"/>
              <w:rPr>
                <w:sz w:val="20"/>
                <w:szCs w:val="20"/>
                <w:color w:val="auto"/>
              </w:rPr>
            </w:pPr>
            <w:r>
              <w:rPr>
                <w:rFonts w:ascii="Times New Roman" w:cs="Times New Roman" w:eastAsia="Times New Roman" w:hAnsi="Times New Roman"/>
                <w:sz w:val="18"/>
                <w:szCs w:val="18"/>
                <w:color w:val="auto"/>
              </w:rPr>
              <w:t>Balance, end of period</w:t>
            </w:r>
          </w:p>
        </w:tc>
        <w:tc>
          <w:tcPr>
            <w:tcW w:w="580" w:type="dxa"/>
            <w:vAlign w:val="bottom"/>
            <w:tcBorders>
              <w:top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97"/>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(40,247)</w:t>
            </w: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w w:val="97"/>
              </w:rPr>
              <w:t>(40,578)</w:t>
            </w: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line="17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331</w:t>
            </w: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17"/>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(41,380)</w:t>
            </w: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w w:val="97"/>
              </w:rPr>
              <w:t>(41,777)</w:t>
            </w:r>
          </w:p>
        </w:tc>
        <w:tc>
          <w:tcPr>
            <w:tcW w:w="140" w:type="dxa"/>
            <w:vAlign w:val="bottom"/>
            <w:tcBorders>
              <w:top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32"/>
              <w:spacing w:after="0" w:line="17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8"/>
                <w:szCs w:val="18"/>
                <w:color w:val="auto"/>
              </w:rPr>
              <w:t>397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8"/>
        </w:trPr>
        <w:tc>
          <w:tcPr>
            <w:tcW w:w="2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w w:val="97"/>
              </w:rPr>
              <w:t>DallasNews Corporation 2023 Annual Report on Form 10-K</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w w:val="96"/>
              </w:rPr>
              <w:t>PAGE 43</w:t>
            </w:r>
          </w:p>
        </w:tc>
        <w:tc>
          <w:tcPr>
            <w:tcW w:w="0" w:type="dxa"/>
            <w:vAlign w:val="bottom"/>
          </w:tcPr>
          <w:p>
            <w:pPr>
              <w:spacing w:after="0"/>
              <w:rPr>
                <w:sz w:val="1"/>
                <w:szCs w:val="1"/>
                <w:color w:val="auto"/>
              </w:rPr>
            </w:pPr>
          </w:p>
        </w:tc>
      </w:tr>
      <w:tr>
        <w:trPr>
          <w:trHeight w:val="323"/>
        </w:trPr>
        <w:tc>
          <w:tcPr>
            <w:tcW w:w="26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956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 8: Earnings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sets forth the net loss available to common shareholders and weighted average shares used for calculating basic earnings per share (“EPS”).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Series A and Series B common stock equally share in the distributed and undistributed earnings.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1840" w:type="dxa"/>
            <w:vAlign w:val="bottom"/>
            <w:tcBorders>
              <w:top w:val="single" w:sz="8" w:color="auto"/>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Years Ended December 31,</w:t>
            </w:r>
          </w:p>
        </w:tc>
        <w:tc>
          <w:tcPr>
            <w:tcW w:w="1240" w:type="dxa"/>
            <w:vAlign w:val="bottom"/>
            <w:tcBorders>
              <w:top w:val="single" w:sz="8" w:color="auto"/>
              <w:bottom w:val="single" w:sz="8" w:color="auto"/>
            </w:tcBorders>
          </w:tcPr>
          <w:p>
            <w:pPr>
              <w:spacing w:after="0"/>
              <w:rPr>
                <w:sz w:val="16"/>
                <w:szCs w:val="16"/>
                <w:color w:val="auto"/>
              </w:rPr>
            </w:pPr>
          </w:p>
        </w:tc>
      </w:tr>
      <w:tr>
        <w:trPr>
          <w:trHeight w:val="192"/>
        </w:trPr>
        <w:tc>
          <w:tcPr>
            <w:tcW w:w="54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r>
      <w:tr>
        <w:trPr>
          <w:trHeight w:val="199"/>
        </w:trPr>
        <w:tc>
          <w:tcPr>
            <w:tcW w:w="546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Earnings (Numerator)</w:t>
            </w:r>
          </w:p>
        </w:tc>
        <w:tc>
          <w:tcPr>
            <w:tcW w:w="15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9"/>
        </w:trPr>
        <w:tc>
          <w:tcPr>
            <w:tcW w:w="5460" w:type="dxa"/>
            <w:vAlign w:val="bottom"/>
          </w:tcPr>
          <w:p>
            <w:pPr>
              <w:ind w:left="220"/>
              <w:spacing w:after="0" w:line="199" w:lineRule="exact"/>
              <w:rPr>
                <w:sz w:val="20"/>
                <w:szCs w:val="20"/>
                <w:color w:val="auto"/>
              </w:rPr>
            </w:pPr>
            <w:r>
              <w:rPr>
                <w:rFonts w:ascii="Times New Roman" w:cs="Times New Roman" w:eastAsia="Times New Roman" w:hAnsi="Times New Roman"/>
                <w:sz w:val="18"/>
                <w:szCs w:val="18"/>
                <w:color w:val="auto"/>
              </w:rPr>
              <w:t>Net loss available to common shareholders</w:t>
            </w:r>
          </w:p>
        </w:tc>
        <w:tc>
          <w:tcPr>
            <w:tcW w:w="2700" w:type="dxa"/>
            <w:vAlign w:val="bottom"/>
            <w:gridSpan w:val="2"/>
          </w:tcPr>
          <w:p>
            <w:pPr>
              <w:jc w:val="right"/>
              <w:ind w:right="1060"/>
              <w:spacing w:after="0" w:line="19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line="199" w:lineRule="exact"/>
              <w:rPr>
                <w:sz w:val="20"/>
                <w:szCs w:val="20"/>
                <w:color w:val="auto"/>
              </w:rPr>
            </w:pPr>
            <w:r>
              <w:rPr>
                <w:rFonts w:ascii="Times New Roman" w:cs="Times New Roman" w:eastAsia="Times New Roman" w:hAnsi="Times New Roman"/>
                <w:sz w:val="18"/>
                <w:szCs w:val="18"/>
                <w:color w:val="auto"/>
              </w:rPr>
              <w:t>(7,112)</w:t>
            </w:r>
          </w:p>
        </w:tc>
        <w:tc>
          <w:tcPr>
            <w:tcW w:w="820" w:type="dxa"/>
            <w:vAlign w:val="bottom"/>
          </w:tcPr>
          <w:p>
            <w:pPr>
              <w:jc w:val="right"/>
              <w:ind w:right="63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(9,786)</w:t>
            </w:r>
          </w:p>
        </w:tc>
      </w:tr>
      <w:tr>
        <w:trPr>
          <w:trHeight w:val="199"/>
        </w:trPr>
        <w:tc>
          <w:tcPr>
            <w:tcW w:w="54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9"/>
        </w:trPr>
        <w:tc>
          <w:tcPr>
            <w:tcW w:w="546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Shares (Denominator)</w:t>
            </w:r>
          </w:p>
        </w:tc>
        <w:tc>
          <w:tcPr>
            <w:tcW w:w="1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9"/>
        </w:trPr>
        <w:tc>
          <w:tcPr>
            <w:tcW w:w="5460" w:type="dxa"/>
            <w:vAlign w:val="bottom"/>
            <w:shd w:val="clear" w:color="auto" w:fill="CCEEFF"/>
          </w:tcPr>
          <w:p>
            <w:pPr>
              <w:ind w:left="100"/>
              <w:spacing w:after="0" w:line="199"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15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w w:val="99"/>
              </w:rPr>
              <w:t>5,352,490</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5,352,490</w:t>
            </w:r>
          </w:p>
        </w:tc>
      </w:tr>
      <w:tr>
        <w:trPr>
          <w:trHeight w:val="199"/>
        </w:trPr>
        <w:tc>
          <w:tcPr>
            <w:tcW w:w="5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9"/>
        </w:trPr>
        <w:tc>
          <w:tcPr>
            <w:tcW w:w="546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Loss Per Share</w:t>
            </w:r>
          </w:p>
        </w:tc>
        <w:tc>
          <w:tcPr>
            <w:tcW w:w="15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9"/>
        </w:trPr>
        <w:tc>
          <w:tcPr>
            <w:tcW w:w="5460" w:type="dxa"/>
            <w:vAlign w:val="bottom"/>
          </w:tcPr>
          <w:p>
            <w:pPr>
              <w:ind w:left="220"/>
              <w:spacing w:after="0" w:line="199" w:lineRule="exact"/>
              <w:rPr>
                <w:sz w:val="20"/>
                <w:szCs w:val="20"/>
                <w:color w:val="auto"/>
              </w:rPr>
            </w:pPr>
            <w:r>
              <w:rPr>
                <w:rFonts w:ascii="Times New Roman" w:cs="Times New Roman" w:eastAsia="Times New Roman" w:hAnsi="Times New Roman"/>
                <w:sz w:val="18"/>
                <w:szCs w:val="18"/>
                <w:color w:val="auto"/>
              </w:rPr>
              <w:t>Basic</w:t>
            </w:r>
          </w:p>
        </w:tc>
        <w:tc>
          <w:tcPr>
            <w:tcW w:w="2700" w:type="dxa"/>
            <w:vAlign w:val="bottom"/>
            <w:gridSpan w:val="2"/>
          </w:tcPr>
          <w:p>
            <w:pPr>
              <w:jc w:val="right"/>
              <w:ind w:right="1060"/>
              <w:spacing w:after="0" w:line="19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line="199" w:lineRule="exact"/>
              <w:rPr>
                <w:sz w:val="20"/>
                <w:szCs w:val="20"/>
                <w:color w:val="auto"/>
              </w:rPr>
            </w:pPr>
            <w:r>
              <w:rPr>
                <w:rFonts w:ascii="Times New Roman" w:cs="Times New Roman" w:eastAsia="Times New Roman" w:hAnsi="Times New Roman"/>
                <w:sz w:val="18"/>
                <w:szCs w:val="18"/>
                <w:color w:val="auto"/>
              </w:rPr>
              <w:t>(1.33)</w:t>
            </w:r>
          </w:p>
        </w:tc>
        <w:tc>
          <w:tcPr>
            <w:tcW w:w="820" w:type="dxa"/>
            <w:vAlign w:val="bottom"/>
          </w:tcPr>
          <w:p>
            <w:pPr>
              <w:jc w:val="right"/>
              <w:ind w:right="63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(1.83)</w:t>
            </w:r>
          </w:p>
        </w:tc>
      </w:tr>
      <w:tr>
        <w:trPr>
          <w:trHeight w:val="20"/>
        </w:trPr>
        <w:tc>
          <w:tcPr>
            <w:tcW w:w="5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There were no options or RSUs outstanding as of December 31, 2023 and 2022, that would result in dilution of shares or the calculation of EPS under the two-class method as prescribed under ASC 260 –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79"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18"/>
          <w:szCs w:val="18"/>
          <w:color w:val="auto"/>
        </w:rPr>
        <w:t xml:space="preserve">As of December 31, 2023, the Company had contractual obligations, in aggregate, of $14,143 for the next five years and $11,994 thereafter, for operating leases, primarily for office space and other distribution centers, some of which include escalating lease payments. See </w:t>
      </w:r>
      <w:r>
        <w:rPr>
          <w:rFonts w:ascii="Times New Roman" w:cs="Times New Roman" w:eastAsia="Times New Roman" w:hAnsi="Times New Roman"/>
          <w:sz w:val="18"/>
          <w:szCs w:val="18"/>
          <w:u w:val="single" w:color="auto"/>
          <w:color w:val="0000FF"/>
        </w:rPr>
        <w:t>Note 4 – Leases</w:t>
      </w:r>
      <w:r>
        <w:rPr>
          <w:rFonts w:ascii="Times New Roman" w:cs="Times New Roman" w:eastAsia="Times New Roman" w:hAnsi="Times New Roman"/>
          <w:sz w:val="18"/>
          <w:szCs w:val="18"/>
          <w:color w:val="auto"/>
        </w:rPr>
        <w:t xml:space="preserve"> for future lease payments by year.</w:t>
      </w:r>
    </w:p>
    <w:p>
      <w:pPr>
        <w:spacing w:after="0" w:line="15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December 2016, the Dallas Morning News, Inc., a wholly-owned subsidiary of the Company, entered into a 16-year lease agreement for office space for the Company’s new corporate headquarters. The Company recognizes rent expense on a straight-line basis. Per the amended lease agreement, rent payments began in November 2018.</w:t>
      </w:r>
    </w:p>
    <w:p>
      <w:pPr>
        <w:spacing w:after="0" w:line="15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The Company funds the DallasNews Pension Plans to meet or exceed statutory requirements. The Company currently does not expect to make contributions to the DallasNews Pension Plans in 2024 and no contributions are required to these plans in 2024 under the applicable tax and labor laws governing pension plan funding; see </w:t>
      </w:r>
      <w:r>
        <w:rPr>
          <w:rFonts w:ascii="Times New Roman" w:cs="Times New Roman" w:eastAsia="Times New Roman" w:hAnsi="Times New Roman"/>
          <w:sz w:val="18"/>
          <w:szCs w:val="18"/>
          <w:u w:val="single" w:color="auto"/>
          <w:color w:val="0000FF"/>
        </w:rPr>
        <w:t>Note 6 - Pension and Other Retirement Plans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-23495</wp:posOffset>
            </wp:positionV>
            <wp:extent cx="20212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2021205" cy="8255"/>
                    </a:xfrm>
                    <a:prstGeom prst="rect">
                      <a:avLst/>
                    </a:prstGeom>
                    <a:noFill/>
                  </pic:spPr>
                </pic:pic>
              </a:graphicData>
            </a:graphic>
          </wp:anchor>
        </w:drawing>
      </w:r>
    </w:p>
    <w:p>
      <w:pPr>
        <w:spacing w:after="0" w:line="13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 xml:space="preserve">From time to time, the Company is involved in a variety of claims, lawsuits and other disputes arising in the ordinary course of business. </w:t>
      </w:r>
      <w:r>
        <w:rPr>
          <w:rFonts w:ascii="Times New Roman" w:cs="Times New Roman" w:eastAsia="Times New Roman" w:hAnsi="Times New Roman"/>
          <w:sz w:val="18"/>
          <w:szCs w:val="18"/>
          <w:color w:val="222222"/>
        </w:rPr>
        <w:t>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routinely assesses the likelihood of adverse judgments or outcomes in these matters, as well as the ranges of probable losses to the extent losses are reasonably estimable. Accruals for contingencies are recorded when, in the judgment of management, adverse judgments or outcomes are probable and the financial impact, should an adverse outcome occur, is reasonably estimable. The determination </w:t>
      </w:r>
      <w:r>
        <w:rPr>
          <w:rFonts w:ascii="Times New Roman" w:cs="Times New Roman" w:eastAsia="Times New Roman" w:hAnsi="Times New Roman"/>
          <w:sz w:val="18"/>
          <w:szCs w:val="18"/>
          <w:color w:val="000000"/>
        </w:rPr>
        <w:t>of likely outcomes of litigation matters relates to factors that include, but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are not limited to, past experience and other evidence, interpretation of relevant laws or regulations and the specifics and status of each matter. Predicting the outcome of claims and litigation and estimating related costs and financial exposure involves substantial uncertainties that could cause actual results to vary materially from estimates and accruals. In the opinion of management, liabilities, if any, arising from other currently existing claims against the Company would not have a material adverse effect on DallasNews’ results of operations, liquidity or financial condition.</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10: Disposal of Assets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In May 2019, the Company finalized a Purchase and Sale Agreement with Charter DMN Holdings, LP (the “Purchaser”) for the sale of the real estate assets in downtown Dallas, Texas, previously used as the Company’s headquarters for a sale price of $28,000 and a pretax gain of $25,908. The sale price consisted of $4,597 cash received, after selling costs of approximately $1,000, and a two year seller-financed promissory note of $22,400 (the “Promissory Note”). In July 2022, the Company received cash proceeds of $22,516 from the Purchaser, paying the Promissory Note in full including interest. In 2022, the Company recorded $616 of interest income related to the Promissory Note, included in other income (loss), net in the Consolidated Statement of Operations.</w:t>
      </w:r>
    </w:p>
    <w:p>
      <w:pPr>
        <w:spacing w:after="0" w:line="268" w:lineRule="exact"/>
        <w:rPr>
          <w:sz w:val="20"/>
          <w:szCs w:val="20"/>
          <w:color w:val="auto"/>
        </w:rPr>
      </w:pPr>
    </w:p>
    <w:p>
      <w:pPr>
        <w:jc w:val="right"/>
        <w:spacing w:after="0"/>
        <w:tabs>
          <w:tab w:leader="none" w:pos="680" w:val="left"/>
        </w:tabs>
        <w:rPr>
          <w:sz w:val="20"/>
          <w:szCs w:val="20"/>
          <w:color w:val="auto"/>
        </w:rPr>
      </w:pPr>
      <w:r>
        <w:rPr>
          <w:rFonts w:ascii="Times New Roman" w:cs="Times New Roman" w:eastAsia="Times New Roman" w:hAnsi="Times New Roman"/>
          <w:sz w:val="18"/>
          <w:szCs w:val="18"/>
          <w:color w:val="auto"/>
        </w:rPr>
        <w:t>DallasNews Corporation 2023 Annual Report on Form 10-K</w:t>
      </w:r>
      <w:r>
        <w:rPr>
          <w:sz w:val="20"/>
          <w:szCs w:val="20"/>
          <w:color w:val="auto"/>
        </w:rPr>
        <w:tab/>
      </w:r>
      <w:r>
        <w:rPr>
          <w:rFonts w:ascii="Times New Roman" w:cs="Times New Roman" w:eastAsia="Times New Roman" w:hAnsi="Times New Roman"/>
          <w:sz w:val="17"/>
          <w:szCs w:val="17"/>
          <w:b w:val="1"/>
          <w:bCs w:val="1"/>
          <w:color w:val="auto"/>
        </w:rPr>
        <w:t>PAGE 44</w:t>
      </w:r>
    </w:p>
    <w:p>
      <w:pPr>
        <w:sectPr>
          <w:pgSz w:w="11900" w:h="16838" w:orient="portrait"/>
          <w:cols w:equalWidth="0" w:num="1">
            <w:col w:w="11240"/>
          </w:cols>
          <w:pgMar w:left="320" w:top="108" w:right="339" w:bottom="1440" w:gutter="0" w:footer="0" w:header="0"/>
        </w:sectPr>
      </w:pPr>
    </w:p>
    <w:bookmarkStart w:id="44" w:name="page45"/>
    <w:bookmarkEnd w:id="44"/>
    <w:p>
      <w:pPr>
        <w:ind w:left="918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LIST OF SUBSIDIARIES OF DALLASNEWS CORPORATION</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Jurisdiction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660" w:type="dxa"/>
            <w:vAlign w:val="bottom"/>
            <w:gridSpan w:val="2"/>
            <w:vMerge w:val="continue"/>
          </w:tcPr>
          <w:p>
            <w:pPr>
              <w:spacing w:after="0"/>
              <w:rPr>
                <w:sz w:val="15"/>
                <w:szCs w:val="15"/>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 H. Belo Management Services, Inc.</w:t>
            </w:r>
          </w:p>
        </w:tc>
        <w:tc>
          <w:tcPr>
            <w:tcW w:w="180" w:type="dxa"/>
            <w:vAlign w:val="bottom"/>
            <w:tcBorders>
              <w:top w:val="single" w:sz="8" w:color="CCEEFF"/>
            </w:tcBorders>
            <w:shd w:val="clear" w:color="auto" w:fill="CCEEFF"/>
          </w:tcPr>
          <w:p>
            <w:pPr>
              <w:spacing w:after="0"/>
              <w:rPr>
                <w:sz w:val="19"/>
                <w:szCs w:val="19"/>
                <w:color w:val="auto"/>
              </w:rPr>
            </w:pPr>
          </w:p>
        </w:tc>
        <w:tc>
          <w:tcPr>
            <w:tcW w:w="4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Belo Lead Management LLC*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NewsRight, LLC*</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AHC California Dispositions, Inc.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AHC California Properties, LLC</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AHC Dallas Properties, LLC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Distribion, Inc.</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CDFX, LLC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Vertical Nerve, Inc.</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 Enterprises, Inc.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Belo Interactive, Inc.</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 Investments II, Inc.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Belo Company (The)</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Cubic Creative, Inc.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Dallas Morning News, Inc. (The)</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DMI Acquisition Sub, Inc.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Fountain Street Corporation</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Rhode Island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Medium Giant Company, Inc.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Providence Journal Company (The)</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*Non-wholly owned</w:t>
            </w:r>
          </w:p>
        </w:tc>
        <w:tc>
          <w:tcPr>
            <w:tcW w:w="4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4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43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3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6323965</wp:posOffset>
            </wp:positionH>
            <wp:positionV relativeFrom="paragraph">
              <wp:posOffset>-37465</wp:posOffset>
            </wp:positionV>
            <wp:extent cx="33655"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-37465</wp:posOffset>
            </wp:positionV>
            <wp:extent cx="33655"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10000"/>
          </w:cols>
          <w:pgMar w:left="960" w:top="119" w:right="9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7"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6" w:lineRule="exact"/>
        <w:rPr>
          <w:sz w:val="20"/>
          <w:szCs w:val="20"/>
          <w:color w:val="auto"/>
        </w:rPr>
      </w:pPr>
    </w:p>
    <w:p>
      <w:pPr>
        <w:ind w:right="100" w:firstLine="1070"/>
        <w:spacing w:after="0" w:line="232" w:lineRule="auto"/>
        <w:rPr>
          <w:sz w:val="20"/>
          <w:szCs w:val="20"/>
          <w:color w:val="auto"/>
        </w:rPr>
      </w:pPr>
      <w:r>
        <w:rPr>
          <w:rFonts w:ascii="Times New Roman" w:cs="Times New Roman" w:eastAsia="Times New Roman" w:hAnsi="Times New Roman"/>
          <w:sz w:val="18"/>
          <w:szCs w:val="18"/>
          <w:color w:val="auto"/>
        </w:rPr>
        <w:t>We have issued our report dated March 6, 2024, with respect to the consolidated financial statements included in the Annual Report of DallasNews Corporation on Form 10-K for the year ended December 31, 2023. We consent to the incorporation by reference of said report in the Registration Statement of DallasNews Corporation on Form S-8 (File No. 333-218601).</w:t>
      </w:r>
    </w:p>
    <w:p>
      <w:pPr>
        <w:spacing w:after="0" w:line="15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6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Dallas, Texas</w:t>
      </w:r>
    </w:p>
    <w:p>
      <w:pPr>
        <w:ind w:left="1060"/>
        <w:spacing w:after="0"/>
        <w:rPr>
          <w:sz w:val="20"/>
          <w:szCs w:val="20"/>
          <w:color w:val="auto"/>
        </w:rPr>
      </w:pPr>
      <w:r>
        <w:rPr>
          <w:rFonts w:ascii="Times New Roman" w:cs="Times New Roman" w:eastAsia="Times New Roman" w:hAnsi="Times New Roman"/>
          <w:sz w:val="18"/>
          <w:szCs w:val="18"/>
          <w:color w:val="auto"/>
        </w:rPr>
        <w:t>March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384810</wp:posOffset>
            </wp:positionV>
            <wp:extent cx="6369050"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6369050" cy="50800"/>
                    </a:xfrm>
                    <a:prstGeom prst="rect">
                      <a:avLst/>
                    </a:prstGeom>
                    <a:noFill/>
                  </pic:spPr>
                </pic:pic>
              </a:graphicData>
            </a:graphic>
          </wp:anchor>
        </w:drawing>
      </w:r>
    </w:p>
    <w:p>
      <w:pPr>
        <w:sectPr>
          <w:pgSz w:w="11900" w:h="16838" w:orient="portrait"/>
          <w:cols w:equalWidth="0" w:num="1">
            <w:col w:w="10920"/>
          </w:cols>
          <w:pgMar w:left="0" w:top="119" w:right="979" w:bottom="1440" w:gutter="0" w:footer="0" w:header="0"/>
        </w:sectPr>
      </w:pPr>
    </w:p>
    <w:bookmarkStart w:id="46" w:name="page47"/>
    <w:bookmarkEnd w:id="46"/>
    <w:p>
      <w:pPr>
        <w:ind w:left="90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Grant S. Moise, Chief Executive Officer of DallasNews Corporation, certify that:</w:t>
      </w:r>
    </w:p>
    <w:p>
      <w:pPr>
        <w:spacing w:after="0" w:line="151" w:lineRule="exact"/>
        <w:rPr>
          <w:sz w:val="20"/>
          <w:szCs w:val="20"/>
          <w:color w:val="auto"/>
        </w:rPr>
      </w:pPr>
    </w:p>
    <w:p>
      <w:pPr>
        <w:ind w:left="320" w:hanging="318"/>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the Annual Report on Form 10-K of DallasNews Corporation;</w:t>
      </w:r>
    </w:p>
    <w:p>
      <w:pPr>
        <w:spacing w:after="0" w:line="150" w:lineRule="exact"/>
        <w:rPr>
          <w:rFonts w:ascii="Times New Roman" w:cs="Times New Roman" w:eastAsia="Times New Roman" w:hAnsi="Times New Roman"/>
          <w:sz w:val="18"/>
          <w:szCs w:val="18"/>
          <w:color w:val="auto"/>
        </w:rPr>
      </w:pPr>
    </w:p>
    <w:p>
      <w:pPr>
        <w:jc w:val="both"/>
        <w:ind w:left="320" w:right="40" w:hanging="318"/>
        <w:spacing w:after="0" w:line="259"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8"/>
          <w:szCs w:val="18"/>
          <w:color w:val="auto"/>
        </w:rPr>
      </w:pPr>
    </w:p>
    <w:p>
      <w:pPr>
        <w:ind w:left="320" w:right="40" w:hanging="318"/>
        <w:spacing w:after="0" w:line="304" w:lineRule="auto"/>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Times New Roman" w:cs="Times New Roman" w:eastAsia="Times New Roman" w:hAnsi="Times New Roman"/>
          <w:sz w:val="17"/>
          <w:szCs w:val="17"/>
          <w:color w:val="auto"/>
        </w:rPr>
      </w:pPr>
    </w:p>
    <w:p>
      <w:pPr>
        <w:jc w:val="both"/>
        <w:ind w:left="320" w:right="40" w:hanging="318"/>
        <w:spacing w:after="0" w:line="259"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8"/>
          <w:szCs w:val="18"/>
          <w:color w:val="auto"/>
        </w:rPr>
      </w:pPr>
    </w:p>
    <w:p>
      <w:pPr>
        <w:jc w:val="both"/>
        <w:ind w:left="640" w:right="40" w:hanging="320"/>
        <w:spacing w:after="0" w:line="259" w:lineRule="auto"/>
        <w:tabs>
          <w:tab w:leader="none" w:pos="6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8"/>
          <w:szCs w:val="18"/>
          <w:color w:val="auto"/>
        </w:rPr>
      </w:pPr>
    </w:p>
    <w:p>
      <w:pPr>
        <w:jc w:val="both"/>
        <w:ind w:left="640" w:right="40" w:hanging="320"/>
        <w:spacing w:after="0" w:line="259" w:lineRule="auto"/>
        <w:tabs>
          <w:tab w:leader="none" w:pos="6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8"/>
          <w:szCs w:val="18"/>
          <w:color w:val="auto"/>
        </w:rPr>
      </w:pPr>
    </w:p>
    <w:p>
      <w:pPr>
        <w:jc w:val="both"/>
        <w:ind w:left="640" w:right="40" w:hanging="320"/>
        <w:spacing w:after="0" w:line="259" w:lineRule="auto"/>
        <w:tabs>
          <w:tab w:leader="none" w:pos="6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8"/>
          <w:szCs w:val="18"/>
          <w:color w:val="auto"/>
        </w:rPr>
      </w:pPr>
    </w:p>
    <w:p>
      <w:pPr>
        <w:jc w:val="both"/>
        <w:ind w:left="640" w:right="40" w:hanging="320"/>
        <w:spacing w:after="0" w:line="259" w:lineRule="auto"/>
        <w:tabs>
          <w:tab w:leader="none" w:pos="6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8"/>
          <w:szCs w:val="18"/>
          <w:color w:val="auto"/>
        </w:rPr>
      </w:pPr>
    </w:p>
    <w:p>
      <w:pPr>
        <w:jc w:val="both"/>
        <w:ind w:left="320" w:right="40" w:hanging="318"/>
        <w:spacing w:after="0" w:line="259"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8"/>
          <w:szCs w:val="18"/>
          <w:color w:val="auto"/>
        </w:rPr>
      </w:pPr>
    </w:p>
    <w:p>
      <w:pPr>
        <w:ind w:left="640" w:right="40" w:hanging="320"/>
        <w:spacing w:after="0" w:line="304" w:lineRule="auto"/>
        <w:tabs>
          <w:tab w:leader="none" w:pos="6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Times New Roman" w:cs="Times New Roman" w:eastAsia="Times New Roman" w:hAnsi="Times New Roman"/>
          <w:sz w:val="17"/>
          <w:szCs w:val="17"/>
          <w:color w:val="auto"/>
        </w:rPr>
      </w:pPr>
    </w:p>
    <w:p>
      <w:pPr>
        <w:ind w:left="640" w:right="40" w:hanging="320"/>
        <w:spacing w:after="0" w:line="274" w:lineRule="auto"/>
        <w:tabs>
          <w:tab w:leader="none" w:pos="6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16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Grant S. Moise</w:t>
            </w:r>
          </w:p>
        </w:tc>
        <w:tc>
          <w:tcPr>
            <w:tcW w:w="40" w:type="dxa"/>
            <w:vAlign w:val="bottom"/>
          </w:tcPr>
          <w:p>
            <w:pPr>
              <w:spacing w:after="0"/>
              <w:rPr>
                <w:sz w:val="20"/>
                <w:szCs w:val="20"/>
                <w:color w:val="auto"/>
              </w:rPr>
            </w:pPr>
          </w:p>
        </w:tc>
      </w:tr>
      <w:tr>
        <w:trPr>
          <w:trHeight w:val="187"/>
        </w:trPr>
        <w:tc>
          <w:tcPr>
            <w:tcW w:w="3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88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Grant S. Moise</w:t>
            </w:r>
          </w:p>
        </w:tc>
        <w:tc>
          <w:tcPr>
            <w:tcW w:w="40" w:type="dxa"/>
            <w:vAlign w:val="bottom"/>
          </w:tcPr>
          <w:p>
            <w:pPr>
              <w:spacing w:after="0"/>
              <w:rPr>
                <w:sz w:val="16"/>
                <w:szCs w:val="16"/>
                <w:color w:val="auto"/>
              </w:rPr>
            </w:pPr>
          </w:p>
        </w:tc>
      </w:tr>
      <w:tr>
        <w:trPr>
          <w:trHeight w:val="212"/>
        </w:trPr>
        <w:tc>
          <w:tcPr>
            <w:tcW w:w="3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3440" w:type="dxa"/>
            <w:vAlign w:val="bottom"/>
          </w:tcPr>
          <w:p>
            <w:pPr>
              <w:spacing w:after="0"/>
              <w:rPr>
                <w:sz w:val="20"/>
                <w:szCs w:val="20"/>
                <w:color w:val="auto"/>
              </w:rPr>
            </w:pPr>
          </w:p>
        </w:tc>
        <w:tc>
          <w:tcPr>
            <w:tcW w:w="16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Date: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March 6, 2024</w:t>
            </w:r>
          </w:p>
        </w:tc>
        <w:tc>
          <w:tcPr>
            <w:tcW w:w="40" w:type="dxa"/>
            <w:vAlign w:val="bottom"/>
          </w:tcPr>
          <w:p>
            <w:pPr>
              <w:spacing w:after="0"/>
              <w:rPr>
                <w:sz w:val="20"/>
                <w:szCs w:val="20"/>
                <w:color w:val="auto"/>
              </w:rPr>
            </w:pPr>
          </w:p>
        </w:tc>
      </w:tr>
      <w:tr>
        <w:trPr>
          <w:trHeight w:val="423"/>
        </w:trPr>
        <w:tc>
          <w:tcPr>
            <w:tcW w:w="34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3440" w:type="dxa"/>
            <w:vAlign w:val="bottom"/>
            <w:tcBorders>
              <w:bottom w:val="single" w:sz="8" w:color="EEEEEE"/>
            </w:tcBorders>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48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6323965</wp:posOffset>
            </wp:positionH>
            <wp:positionV relativeFrom="paragraph">
              <wp:posOffset>-37465</wp:posOffset>
            </wp:positionV>
            <wp:extent cx="33655" cy="50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-37465</wp:posOffset>
            </wp:positionV>
            <wp:extent cx="33655" cy="508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10000"/>
          </w:cols>
          <w:pgMar w:left="960" w:top="119" w:right="939" w:bottom="1440" w:gutter="0" w:footer="0" w:header="0"/>
        </w:sectPr>
      </w:pPr>
    </w:p>
    <w:bookmarkStart w:id="47" w:name="page48"/>
    <w:bookmarkEnd w:id="47"/>
    <w:p>
      <w:pPr>
        <w:ind w:left="906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Katy Murray, President and Chief Financial Officer of DallasNews Corporation, certify that:</w:t>
      </w:r>
    </w:p>
    <w:p>
      <w:pPr>
        <w:spacing w:after="0" w:line="151" w:lineRule="exact"/>
        <w:rPr>
          <w:sz w:val="20"/>
          <w:szCs w:val="20"/>
          <w:color w:val="auto"/>
        </w:rPr>
      </w:pPr>
    </w:p>
    <w:p>
      <w:pPr>
        <w:ind w:left="320" w:hanging="318"/>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the Annual Report on Form 10-K of DallasNews Corporation;</w:t>
      </w:r>
    </w:p>
    <w:p>
      <w:pPr>
        <w:spacing w:after="0" w:line="150" w:lineRule="exact"/>
        <w:rPr>
          <w:rFonts w:ascii="Times New Roman" w:cs="Times New Roman" w:eastAsia="Times New Roman" w:hAnsi="Times New Roman"/>
          <w:sz w:val="18"/>
          <w:szCs w:val="18"/>
          <w:color w:val="auto"/>
        </w:rPr>
      </w:pPr>
    </w:p>
    <w:p>
      <w:pPr>
        <w:jc w:val="both"/>
        <w:ind w:left="320" w:hanging="318"/>
        <w:spacing w:after="0" w:line="259"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8"/>
          <w:szCs w:val="18"/>
          <w:color w:val="auto"/>
        </w:rPr>
      </w:pPr>
    </w:p>
    <w:p>
      <w:pPr>
        <w:ind w:left="320" w:hanging="318"/>
        <w:spacing w:after="0" w:line="304" w:lineRule="auto"/>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Times New Roman" w:cs="Times New Roman" w:eastAsia="Times New Roman" w:hAnsi="Times New Roman"/>
          <w:sz w:val="17"/>
          <w:szCs w:val="17"/>
          <w:color w:val="auto"/>
        </w:rPr>
      </w:pPr>
    </w:p>
    <w:p>
      <w:pPr>
        <w:jc w:val="both"/>
        <w:ind w:left="320" w:hanging="318"/>
        <w:spacing w:after="0" w:line="259"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8"/>
          <w:szCs w:val="18"/>
          <w:color w:val="auto"/>
        </w:rPr>
      </w:pPr>
    </w:p>
    <w:p>
      <w:pPr>
        <w:jc w:val="both"/>
        <w:ind w:left="640" w:hanging="320"/>
        <w:spacing w:after="0" w:line="259" w:lineRule="auto"/>
        <w:tabs>
          <w:tab w:leader="none" w:pos="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8"/>
          <w:szCs w:val="18"/>
          <w:color w:val="auto"/>
        </w:rPr>
      </w:pPr>
    </w:p>
    <w:p>
      <w:pPr>
        <w:jc w:val="both"/>
        <w:ind w:left="640" w:hanging="320"/>
        <w:spacing w:after="0" w:line="259" w:lineRule="auto"/>
        <w:tabs>
          <w:tab w:leader="none" w:pos="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8"/>
          <w:szCs w:val="18"/>
          <w:color w:val="auto"/>
        </w:rPr>
      </w:pPr>
    </w:p>
    <w:p>
      <w:pPr>
        <w:jc w:val="both"/>
        <w:ind w:left="640" w:hanging="320"/>
        <w:spacing w:after="0" w:line="259" w:lineRule="auto"/>
        <w:tabs>
          <w:tab w:leader="none" w:pos="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8"/>
          <w:szCs w:val="18"/>
          <w:color w:val="auto"/>
        </w:rPr>
      </w:pPr>
    </w:p>
    <w:p>
      <w:pPr>
        <w:jc w:val="both"/>
        <w:ind w:left="640" w:hanging="320"/>
        <w:spacing w:after="0" w:line="259" w:lineRule="auto"/>
        <w:tabs>
          <w:tab w:leader="none" w:pos="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8"/>
          <w:szCs w:val="18"/>
          <w:color w:val="auto"/>
        </w:rPr>
      </w:pPr>
    </w:p>
    <w:p>
      <w:pPr>
        <w:jc w:val="both"/>
        <w:ind w:left="320" w:hanging="318"/>
        <w:spacing w:after="0" w:line="259"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8"/>
          <w:szCs w:val="18"/>
          <w:color w:val="auto"/>
        </w:rPr>
      </w:pPr>
    </w:p>
    <w:p>
      <w:pPr>
        <w:ind w:left="640" w:hanging="320"/>
        <w:spacing w:after="0" w:line="304" w:lineRule="auto"/>
        <w:tabs>
          <w:tab w:leader="none" w:pos="6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Times New Roman" w:cs="Times New Roman" w:eastAsia="Times New Roman" w:hAnsi="Times New Roman"/>
          <w:sz w:val="17"/>
          <w:szCs w:val="17"/>
          <w:color w:val="auto"/>
        </w:rPr>
      </w:pPr>
    </w:p>
    <w:p>
      <w:pPr>
        <w:ind w:left="640" w:hanging="320"/>
        <w:spacing w:after="0" w:line="274" w:lineRule="auto"/>
        <w:tabs>
          <w:tab w:leader="none" w:pos="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4740"/>
        <w:spacing w:after="0"/>
        <w:tabs>
          <w:tab w:leader="none" w:pos="5220" w:val="left"/>
        </w:tabs>
        <w:rPr>
          <w:sz w:val="20"/>
          <w:szCs w:val="20"/>
          <w:color w:val="auto"/>
        </w:rPr>
      </w:pPr>
      <w:r>
        <w:rPr>
          <w:rFonts w:ascii="Times New Roman" w:cs="Times New Roman" w:eastAsia="Times New Roman" w:hAnsi="Times New Roman"/>
          <w:sz w:val="18"/>
          <w:szCs w:val="18"/>
          <w:color w:val="auto"/>
        </w:rPr>
        <w:t>By:</w:t>
        <w:tab/>
        <w:t>/s/ Katy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3333115</wp:posOffset>
            </wp:positionH>
            <wp:positionV relativeFrom="paragraph">
              <wp:posOffset>14605</wp:posOffset>
            </wp:positionV>
            <wp:extent cx="29952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2995295" cy="825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Katy Murray</w:t>
      </w:r>
    </w:p>
    <w:p>
      <w:pPr>
        <w:spacing w:after="0" w:line="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Date:  March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271145</wp:posOffset>
            </wp:positionV>
            <wp:extent cx="6369050" cy="50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6369050" cy="50800"/>
                    </a:xfrm>
                    <a:prstGeom prst="rect">
                      <a:avLst/>
                    </a:prstGeom>
                    <a:noFill/>
                  </pic:spPr>
                </pic:pic>
              </a:graphicData>
            </a:graphic>
          </wp:anchor>
        </w:drawing>
      </w:r>
    </w:p>
    <w:p>
      <w:pPr>
        <w:sectPr>
          <w:pgSz w:w="11900" w:h="16838" w:orient="portrait"/>
          <w:cols w:equalWidth="0" w:num="1">
            <w:col w:w="9960"/>
          </w:cols>
          <w:pgMar w:left="960" w:top="119" w:right="97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of DallasNews Corporation (the “Company”) on Form 10-K for the year ended December 31, 2023, as filed with the Securities and Exchange Commission on the date hereof (the “Report”), the undersigned, Grant S. Moise, Chief Executive Officer of the Company, and Katy Murray, President and Chief Financial Officer of the Company, each hereby certifies, pursuant to 18 U.S.C. § 1350, as adopted pursuant to § 906 of the Sarbanes-Oxley Act of 2002, that:</w:t>
      </w:r>
    </w:p>
    <w:p>
      <w:pPr>
        <w:spacing w:after="0" w:line="180" w:lineRule="exact"/>
        <w:rPr>
          <w:sz w:val="20"/>
          <w:szCs w:val="20"/>
          <w:color w:val="auto"/>
        </w:rPr>
      </w:pPr>
    </w:p>
    <w:p>
      <w:pPr>
        <w:ind w:left="320" w:hanging="318"/>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320" w:hanging="318"/>
        <w:spacing w:after="0" w:line="274"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7" w:lineRule="exact"/>
        <w:rPr>
          <w:sz w:val="20"/>
          <w:szCs w:val="20"/>
          <w:color w:val="auto"/>
        </w:rPr>
      </w:pPr>
    </w:p>
    <w:p>
      <w:pPr>
        <w:ind w:left="4160"/>
        <w:spacing w:after="0"/>
        <w:tabs>
          <w:tab w:leader="none" w:pos="4640" w:val="left"/>
        </w:tabs>
        <w:rPr>
          <w:sz w:val="20"/>
          <w:szCs w:val="20"/>
          <w:color w:val="auto"/>
        </w:rPr>
      </w:pPr>
      <w:r>
        <w:rPr>
          <w:rFonts w:ascii="Times New Roman" w:cs="Times New Roman" w:eastAsia="Times New Roman" w:hAnsi="Times New Roman"/>
          <w:sz w:val="18"/>
          <w:szCs w:val="18"/>
          <w:color w:val="auto"/>
        </w:rPr>
        <w:t>By:</w:t>
        <w:tab/>
        <w:t>/s/ Grant S. Moise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14605</wp:posOffset>
            </wp:positionV>
            <wp:extent cx="3365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3365500" cy="8255"/>
                    </a:xfrm>
                    <a:prstGeom prst="rect">
                      <a:avLst/>
                    </a:prstGeom>
                    <a:noFill/>
                  </pic:spPr>
                </pic:pic>
              </a:graphicData>
            </a:graphic>
          </wp:anchor>
        </w:drawing>
      </w:r>
    </w:p>
    <w:p>
      <w:pPr>
        <w:spacing w:after="0" w:line="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Grant S. Moise</w:t>
      </w:r>
    </w:p>
    <w:p>
      <w:pPr>
        <w:spacing w:after="0" w:line="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Date:  March 6, 2024</w:t>
      </w:r>
    </w:p>
    <w:p>
      <w:pPr>
        <w:spacing w:after="0" w:line="200" w:lineRule="exact"/>
        <w:rPr>
          <w:sz w:val="20"/>
          <w:szCs w:val="20"/>
          <w:color w:val="auto"/>
        </w:rPr>
      </w:pPr>
    </w:p>
    <w:p>
      <w:pPr>
        <w:spacing w:after="0" w:line="309" w:lineRule="exact"/>
        <w:rPr>
          <w:sz w:val="20"/>
          <w:szCs w:val="20"/>
          <w:color w:val="auto"/>
        </w:rPr>
      </w:pPr>
    </w:p>
    <w:p>
      <w:pPr>
        <w:ind w:left="4160"/>
        <w:spacing w:after="0"/>
        <w:tabs>
          <w:tab w:leader="none" w:pos="4640" w:val="left"/>
        </w:tabs>
        <w:rPr>
          <w:sz w:val="20"/>
          <w:szCs w:val="20"/>
          <w:color w:val="auto"/>
        </w:rPr>
      </w:pPr>
      <w:r>
        <w:rPr>
          <w:rFonts w:ascii="Times New Roman" w:cs="Times New Roman" w:eastAsia="Times New Roman" w:hAnsi="Times New Roman"/>
          <w:sz w:val="18"/>
          <w:szCs w:val="18"/>
          <w:color w:val="auto"/>
        </w:rPr>
        <w:t>By:</w:t>
        <w:tab/>
        <w:t>/s/ Katy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14605</wp:posOffset>
            </wp:positionV>
            <wp:extent cx="3365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3365500" cy="8255"/>
                    </a:xfrm>
                    <a:prstGeom prst="rect">
                      <a:avLst/>
                    </a:prstGeom>
                    <a:noFill/>
                  </pic:spPr>
                </pic:pic>
              </a:graphicData>
            </a:graphic>
          </wp:anchor>
        </w:drawing>
      </w:r>
    </w:p>
    <w:p>
      <w:pPr>
        <w:spacing w:after="0" w:line="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Katy Murray</w:t>
      </w:r>
    </w:p>
    <w:p>
      <w:pPr>
        <w:spacing w:after="0" w:line="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Date:  March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405765</wp:posOffset>
            </wp:positionV>
            <wp:extent cx="6369050" cy="50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6369050" cy="50800"/>
                    </a:xfrm>
                    <a:prstGeom prst="rect">
                      <a:avLst/>
                    </a:prstGeom>
                    <a:noFill/>
                  </pic:spPr>
                </pic:pic>
              </a:graphicData>
            </a:graphic>
          </wp:anchor>
        </w:drawing>
      </w:r>
    </w:p>
    <w:p>
      <w:pPr>
        <w:sectPr>
          <w:pgSz w:w="11900" w:h="16838" w:orient="portrait"/>
          <w:cols w:equalWidth="0" w:num="1">
            <w:col w:w="9960"/>
          </w:cols>
          <w:pgMar w:left="960" w:top="119" w:right="979" w:bottom="1440" w:gutter="0" w:footer="0" w:header="0"/>
        </w:sectPr>
      </w:pPr>
    </w:p>
    <w:bookmarkStart w:id="49" w:name="page50"/>
    <w:bookmarkEnd w:id="49"/>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9"/>
          <w:szCs w:val="39"/>
          <w:color w:val="auto"/>
        </w:rPr>
        <w:t xml:space="preserve">DallasNews </w:t>
      </w:r>
      <w:r>
        <w:rPr>
          <w:rFonts w:ascii="Times New Roman" w:cs="Times New Roman" w:eastAsia="Times New Roman" w:hAnsi="Times New Roman"/>
          <w:sz w:val="22"/>
          <w:szCs w:val="22"/>
          <w:b w:val="1"/>
          <w:bCs w:val="1"/>
          <w:color w:val="auto"/>
        </w:rPr>
        <w:t>CORPORATION</w:t>
      </w:r>
    </w:p>
    <w:p>
      <w:pPr>
        <w:jc w:val="center"/>
        <w:spacing w:after="0" w:line="237" w:lineRule="auto"/>
        <w:rPr>
          <w:sz w:val="20"/>
          <w:szCs w:val="20"/>
          <w:color w:val="auto"/>
        </w:rPr>
      </w:pPr>
      <w:r>
        <w:rPr>
          <w:rFonts w:ascii="Times New Roman" w:cs="Times New Roman" w:eastAsia="Times New Roman" w:hAnsi="Times New Roman"/>
          <w:sz w:val="21"/>
          <w:szCs w:val="21"/>
          <w:b w:val="1"/>
          <w:bCs w:val="1"/>
          <w:color w:val="auto"/>
        </w:rPr>
        <w:t>Compensation Recovery Policy</w:t>
      </w: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(Effective October 2, 2023)</w:t>
      </w:r>
    </w:p>
    <w:p>
      <w:pPr>
        <w:spacing w:after="0" w:line="208" w:lineRule="exact"/>
        <w:rPr>
          <w:sz w:val="20"/>
          <w:szCs w:val="20"/>
          <w:color w:val="auto"/>
        </w:rPr>
      </w:pPr>
    </w:p>
    <w:p>
      <w:pPr>
        <w:jc w:val="both"/>
        <w:ind w:left="160" w:right="179"/>
        <w:spacing w:after="0" w:line="244" w:lineRule="auto"/>
        <w:rPr>
          <w:sz w:val="20"/>
          <w:szCs w:val="20"/>
          <w:color w:val="auto"/>
        </w:rPr>
      </w:pPr>
      <w:r>
        <w:rPr>
          <w:rFonts w:ascii="Times New Roman" w:cs="Times New Roman" w:eastAsia="Times New Roman" w:hAnsi="Times New Roman"/>
          <w:sz w:val="21"/>
          <w:szCs w:val="21"/>
          <w:color w:val="auto"/>
        </w:rPr>
        <w:t>This Compensation Recovery Policy (this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of DallasNews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is hereby adopted as of September 20, 2023 to be effective October 2, 2023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by the Compensation and Management Development Committee (the “</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of the Board of Directors of the Company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xml:space="preserve">”) in compliance with Section 10D of the Securities Exchange Act of 1934, as amended, and Rule 5608 of the Nasdaq Listing Rules. Certain terms shall have the meanings set forth in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i w:val="1"/>
          <w:iCs w:val="1"/>
          <w:u w:val="single" w:color="auto"/>
          <w:color w:val="auto"/>
        </w:rPr>
        <w:t>Section 3</w:t>
      </w:r>
      <w:r>
        <w:rPr>
          <w:rFonts w:ascii="Times New Roman" w:cs="Times New Roman" w:eastAsia="Times New Roman" w:hAnsi="Times New Roman"/>
          <w:sz w:val="21"/>
          <w:szCs w:val="21"/>
          <w:i w:val="1"/>
          <w:iCs w:val="1"/>
          <w:color w:val="auto"/>
        </w:rPr>
        <w:t>. Definitions”</w:t>
      </w:r>
      <w:r>
        <w:rPr>
          <w:rFonts w:ascii="Times New Roman" w:cs="Times New Roman" w:eastAsia="Times New Roman" w:hAnsi="Times New Roman"/>
          <w:sz w:val="21"/>
          <w:szCs w:val="21"/>
          <w:color w:val="auto"/>
        </w:rPr>
        <w:t xml:space="preserve"> below.</w:t>
      </w:r>
    </w:p>
    <w:p>
      <w:pPr>
        <w:spacing w:after="0" w:line="196" w:lineRule="exact"/>
        <w:rPr>
          <w:sz w:val="20"/>
          <w:szCs w:val="20"/>
          <w:color w:val="auto"/>
        </w:rPr>
      </w:pPr>
    </w:p>
    <w:p>
      <w:pPr>
        <w:ind w:left="160"/>
        <w:spacing w:after="0"/>
        <w:tabs>
          <w:tab w:leader="none" w:pos="1640" w:val="left"/>
        </w:tabs>
        <w:rPr>
          <w:sz w:val="20"/>
          <w:szCs w:val="20"/>
          <w:color w:val="auto"/>
        </w:rPr>
      </w:pPr>
      <w:r>
        <w:rPr>
          <w:rFonts w:ascii="Times New Roman" w:cs="Times New Roman" w:eastAsia="Times New Roman" w:hAnsi="Times New Roman"/>
          <w:sz w:val="21"/>
          <w:szCs w:val="21"/>
          <w:b w:val="1"/>
          <w:bCs w:val="1"/>
          <w:u w:val="single" w:color="auto"/>
          <w:color w:val="auto"/>
        </w:rPr>
        <w:t>Section 1</w:t>
      </w:r>
      <w:r>
        <w:rPr>
          <w:rFonts w:ascii="Times New Roman" w:cs="Times New Roman" w:eastAsia="Times New Roman" w:hAnsi="Times New Roman"/>
          <w:sz w:val="21"/>
          <w:szCs w:val="21"/>
          <w:b w:val="1"/>
          <w:bCs w:val="1"/>
          <w:color w:val="auto"/>
        </w:rPr>
        <w:t>.</w:t>
      </w:r>
      <w:r>
        <w:rPr>
          <w:sz w:val="20"/>
          <w:szCs w:val="20"/>
          <w:color w:val="auto"/>
        </w:rPr>
        <w:tab/>
      </w:r>
      <w:r>
        <w:rPr>
          <w:rFonts w:ascii="Times New Roman" w:cs="Times New Roman" w:eastAsia="Times New Roman" w:hAnsi="Times New Roman"/>
          <w:sz w:val="21"/>
          <w:szCs w:val="21"/>
          <w:b w:val="1"/>
          <w:bCs w:val="1"/>
          <w:u w:val="single" w:color="auto"/>
          <w:color w:val="auto"/>
        </w:rPr>
        <w:t>Recovery Requirement</w:t>
      </w:r>
    </w:p>
    <w:p>
      <w:pPr>
        <w:spacing w:after="0" w:line="240" w:lineRule="exact"/>
        <w:rPr>
          <w:sz w:val="20"/>
          <w:szCs w:val="20"/>
          <w:color w:val="auto"/>
        </w:rPr>
      </w:pPr>
    </w:p>
    <w:p>
      <w:pPr>
        <w:jc w:val="both"/>
        <w:ind w:left="160" w:right="179"/>
        <w:spacing w:after="0" w:line="241" w:lineRule="auto"/>
        <w:rPr>
          <w:sz w:val="20"/>
          <w:szCs w:val="20"/>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of this Policy, in the event the Company is required to prepare an Accounting Restatement, then the Committee hereby directs the Company, to the fullest extent permitted by governing law, to recover from each Executive Officer the amount received by an Executive Officer, if any, of Erroneously Awarded Compensation, with such recovery occurring reasonably promptly after the Restatement Date relating to such Accounting Restatement. An Executive Officer shall be deemed to have “received” Incentive-Based Compensation in the Company’s fiscal period during which the Financial Reporting Measure specified in the Incentive-Based Compensation award is attained, even if the payment or grant of the Incentive-Based Compensation occurs after the end of that fiscal period.</w:t>
      </w:r>
    </w:p>
    <w:p>
      <w:pPr>
        <w:spacing w:after="0" w:line="200" w:lineRule="exact"/>
        <w:rPr>
          <w:sz w:val="20"/>
          <w:szCs w:val="20"/>
          <w:color w:val="auto"/>
        </w:rPr>
      </w:pPr>
    </w:p>
    <w:p>
      <w:pPr>
        <w:spacing w:after="0" w:line="245" w:lineRule="exact"/>
        <w:rPr>
          <w:sz w:val="20"/>
          <w:szCs w:val="20"/>
          <w:color w:val="auto"/>
        </w:rPr>
      </w:pPr>
    </w:p>
    <w:p>
      <w:pPr>
        <w:jc w:val="both"/>
        <w:ind w:left="160" w:right="179"/>
        <w:spacing w:after="0"/>
        <w:rPr>
          <w:sz w:val="20"/>
          <w:szCs w:val="20"/>
          <w:color w:val="auto"/>
        </w:rPr>
      </w:pPr>
      <w:r>
        <w:rPr>
          <w:rFonts w:ascii="Times New Roman" w:cs="Times New Roman" w:eastAsia="Times New Roman" w:hAnsi="Times New Roman"/>
          <w:sz w:val="21"/>
          <w:szCs w:val="21"/>
          <w:color w:val="auto"/>
        </w:rPr>
        <w:t>The Committee may effect recovery in any manner consistent with applicable law including, but not limited to, (a) seeking reimbursement of all or part of any Erroneously Awarded Compensation previously received by an Executive Officer and, to the extent that the Executive Officer does not reimburse such Erroneously Awarded Compensation, suing and enforcing recovery against the Executive Officer for repayment of the Erroneously Awarded Compensation, together with any expenses incurred by the Company in enforcing such recovery, (b) cancelling prior grants of Incentive-Based Compensation, whether vested or unvested, restricted or deferred, or paid or unpaid, and through the forfeiture of previously vested equity awards, (c) cancelling or setting-off against planned future grants of Incentive-Based Compensation, (d) deducting all or any portion of such Erroneously Awarded Compensation from any other remuneration payable by the Company to such Executive Officer, and (e) any other method authorized by applicable law or contract.</w:t>
      </w:r>
    </w:p>
    <w:p>
      <w:pPr>
        <w:spacing w:after="0" w:line="206" w:lineRule="exact"/>
        <w:rPr>
          <w:sz w:val="20"/>
          <w:szCs w:val="20"/>
          <w:color w:val="auto"/>
        </w:rPr>
      </w:pPr>
    </w:p>
    <w:p>
      <w:pPr>
        <w:jc w:val="both"/>
        <w:ind w:left="160" w:right="179"/>
        <w:spacing w:after="0" w:line="272" w:lineRule="auto"/>
        <w:rPr>
          <w:sz w:val="20"/>
          <w:szCs w:val="20"/>
          <w:color w:val="auto"/>
        </w:rPr>
      </w:pPr>
      <w:r>
        <w:rPr>
          <w:rFonts w:ascii="Times New Roman" w:cs="Times New Roman" w:eastAsia="Times New Roman" w:hAnsi="Times New Roman"/>
          <w:sz w:val="21"/>
          <w:szCs w:val="21"/>
          <w:color w:val="auto"/>
        </w:rPr>
        <w:t>The Company’s right to recovery pursuant to this Policy is not dependent on if or when the Accounting Restatement is filed with the Securities and Exchange Commission.</w:t>
      </w:r>
    </w:p>
    <w:p>
      <w:pPr>
        <w:spacing w:after="0" w:line="164" w:lineRule="exact"/>
        <w:rPr>
          <w:sz w:val="20"/>
          <w:szCs w:val="20"/>
          <w:color w:val="auto"/>
        </w:rPr>
      </w:pPr>
    </w:p>
    <w:p>
      <w:pPr>
        <w:ind w:left="160"/>
        <w:spacing w:after="0"/>
        <w:tabs>
          <w:tab w:leader="none" w:pos="1640" w:val="left"/>
        </w:tabs>
        <w:rPr>
          <w:sz w:val="20"/>
          <w:szCs w:val="20"/>
          <w:color w:val="auto"/>
        </w:rPr>
      </w:pPr>
      <w:r>
        <w:rPr>
          <w:rFonts w:ascii="Times New Roman" w:cs="Times New Roman" w:eastAsia="Times New Roman" w:hAnsi="Times New Roman"/>
          <w:sz w:val="21"/>
          <w:szCs w:val="21"/>
          <w:b w:val="1"/>
          <w:bCs w:val="1"/>
          <w:u w:val="single" w:color="auto"/>
          <w:color w:val="auto"/>
        </w:rPr>
        <w:t>Section 2</w:t>
      </w:r>
      <w:r>
        <w:rPr>
          <w:rFonts w:ascii="Times New Roman" w:cs="Times New Roman" w:eastAsia="Times New Roman" w:hAnsi="Times New Roman"/>
          <w:sz w:val="21"/>
          <w:szCs w:val="21"/>
          <w:b w:val="1"/>
          <w:bCs w:val="1"/>
          <w:color w:val="auto"/>
        </w:rPr>
        <w:t>.</w:t>
      </w:r>
      <w:r>
        <w:rPr>
          <w:sz w:val="20"/>
          <w:szCs w:val="20"/>
          <w:color w:val="auto"/>
        </w:rPr>
        <w:tab/>
      </w:r>
      <w:r>
        <w:rPr>
          <w:rFonts w:ascii="Times New Roman" w:cs="Times New Roman" w:eastAsia="Times New Roman" w:hAnsi="Times New Roman"/>
          <w:sz w:val="21"/>
          <w:szCs w:val="21"/>
          <w:b w:val="1"/>
          <w:bCs w:val="1"/>
          <w:u w:val="single" w:color="auto"/>
          <w:color w:val="auto"/>
        </w:rPr>
        <w:t>Incentive-Based Compensation Subject to this Policy</w:t>
      </w:r>
    </w:p>
    <w:p>
      <w:pPr>
        <w:spacing w:after="0" w:line="240" w:lineRule="exact"/>
        <w:rPr>
          <w:sz w:val="20"/>
          <w:szCs w:val="20"/>
          <w:color w:val="auto"/>
        </w:rPr>
      </w:pPr>
    </w:p>
    <w:p>
      <w:pPr>
        <w:jc w:val="both"/>
        <w:ind w:left="160" w:right="179"/>
        <w:spacing w:after="0" w:line="272" w:lineRule="auto"/>
        <w:rPr>
          <w:sz w:val="20"/>
          <w:szCs w:val="20"/>
          <w:color w:val="auto"/>
        </w:rPr>
      </w:pPr>
      <w:r>
        <w:rPr>
          <w:rFonts w:ascii="Times New Roman" w:cs="Times New Roman" w:eastAsia="Times New Roman" w:hAnsi="Times New Roman"/>
          <w:sz w:val="21"/>
          <w:szCs w:val="21"/>
          <w:color w:val="auto"/>
        </w:rPr>
        <w:t>This Policy applies to all Incentive-Based Compensation received by each Executive Officer on or after the Effective Date:</w:t>
      </w:r>
    </w:p>
    <w:p>
      <w:pPr>
        <w:spacing w:after="0" w:line="168" w:lineRule="exact"/>
        <w:rPr>
          <w:sz w:val="20"/>
          <w:szCs w:val="20"/>
          <w:color w:val="auto"/>
        </w:rPr>
      </w:pPr>
    </w:p>
    <w:p>
      <w:pPr>
        <w:ind w:left="160" w:right="179" w:firstLine="634"/>
        <w:spacing w:after="0" w:line="272" w:lineRule="auto"/>
        <w:tabs>
          <w:tab w:leader="none" w:pos="143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Incentive-Based Compensation was received on and after the date such person became an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246380</wp:posOffset>
            </wp:positionV>
            <wp:extent cx="5561330" cy="508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5561330" cy="508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50" w:name="page51"/>
    <w:bookmarkEnd w:id="50"/>
    <w:p>
      <w:pPr>
        <w:ind w:left="160" w:right="179" w:firstLine="634"/>
        <w:spacing w:after="0" w:line="270" w:lineRule="auto"/>
        <w:tabs>
          <w:tab w:leader="none" w:pos="146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Executive Officer served as an Executive Officer at any time during the performance period for that Incentive-Based Compensation; and</w:t>
      </w:r>
    </w:p>
    <w:p>
      <w:pPr>
        <w:spacing w:after="0" w:line="170" w:lineRule="exact"/>
        <w:rPr>
          <w:rFonts w:ascii="Times New Roman" w:cs="Times New Roman" w:eastAsia="Times New Roman" w:hAnsi="Times New Roman"/>
          <w:sz w:val="21"/>
          <w:szCs w:val="21"/>
          <w:color w:val="auto"/>
        </w:rPr>
      </w:pPr>
    </w:p>
    <w:p>
      <w:pPr>
        <w:jc w:val="both"/>
        <w:ind w:left="160" w:right="179" w:firstLine="634"/>
        <w:spacing w:after="0" w:line="245" w:lineRule="auto"/>
        <w:tabs>
          <w:tab w:leader="none" w:pos="1432"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Incentive-Based Compensation was received during the three completed fiscal years immediately preceding the Restatement Date (including any transition period that results from a change in the Company’s fiscal year that is within or immediately following those three completed fiscal years; provided that a transition period of nine to 12 months is deemed to be a completed fiscal year).</w:t>
      </w:r>
    </w:p>
    <w:p>
      <w:pPr>
        <w:spacing w:after="0" w:line="198" w:lineRule="exact"/>
        <w:rPr>
          <w:sz w:val="20"/>
          <w:szCs w:val="20"/>
          <w:color w:val="auto"/>
        </w:rPr>
      </w:pPr>
    </w:p>
    <w:p>
      <w:pPr>
        <w:jc w:val="both"/>
        <w:ind w:left="160" w:right="179"/>
        <w:spacing w:after="0" w:line="248" w:lineRule="auto"/>
        <w:rPr>
          <w:sz w:val="20"/>
          <w:szCs w:val="20"/>
          <w:color w:val="auto"/>
        </w:rPr>
      </w:pPr>
      <w:r>
        <w:rPr>
          <w:rFonts w:ascii="Times New Roman" w:cs="Times New Roman" w:eastAsia="Times New Roman" w:hAnsi="Times New Roman"/>
          <w:sz w:val="21"/>
          <w:szCs w:val="21"/>
          <w:color w:val="auto"/>
        </w:rPr>
        <w:t>This Policy shall apply and govern Incentive-Based Compensation received by any Executive Officer, notwithstanding any contrary or supplemental term or condition in any document, plan or agreement including without limitation any employment contract, indemnification agreement, equity agreement, or equity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60"/>
        <w:spacing w:after="0"/>
        <w:tabs>
          <w:tab w:leader="none" w:pos="1640" w:val="left"/>
        </w:tabs>
        <w:rPr>
          <w:sz w:val="20"/>
          <w:szCs w:val="20"/>
          <w:color w:val="auto"/>
        </w:rPr>
      </w:pPr>
      <w:r>
        <w:rPr>
          <w:rFonts w:ascii="Times New Roman" w:cs="Times New Roman" w:eastAsia="Times New Roman" w:hAnsi="Times New Roman"/>
          <w:sz w:val="21"/>
          <w:szCs w:val="21"/>
          <w:b w:val="1"/>
          <w:bCs w:val="1"/>
          <w:u w:val="single" w:color="auto"/>
          <w:color w:val="auto"/>
        </w:rPr>
        <w:t>Section 3</w:t>
      </w:r>
      <w:r>
        <w:rPr>
          <w:rFonts w:ascii="Times New Roman" w:cs="Times New Roman" w:eastAsia="Times New Roman" w:hAnsi="Times New Roman"/>
          <w:sz w:val="21"/>
          <w:szCs w:val="21"/>
          <w:b w:val="1"/>
          <w:bCs w:val="1"/>
          <w:color w:val="auto"/>
        </w:rPr>
        <w:t>.</w:t>
      </w:r>
      <w:r>
        <w:rPr>
          <w:sz w:val="20"/>
          <w:szCs w:val="20"/>
          <w:color w:val="auto"/>
        </w:rPr>
        <w:tab/>
      </w:r>
      <w:r>
        <w:rPr>
          <w:rFonts w:ascii="Times New Roman" w:cs="Times New Roman" w:eastAsia="Times New Roman" w:hAnsi="Times New Roman"/>
          <w:sz w:val="21"/>
          <w:szCs w:val="21"/>
          <w:b w:val="1"/>
          <w:bCs w:val="1"/>
          <w:u w:val="single" w:color="auto"/>
          <w:color w:val="auto"/>
        </w:rPr>
        <w:t>Definitions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For purposes of this Policy, the following terms have the meanings set forth below:</w:t>
      </w:r>
    </w:p>
    <w:p>
      <w:pPr>
        <w:spacing w:after="0" w:line="232" w:lineRule="exact"/>
        <w:rPr>
          <w:sz w:val="20"/>
          <w:szCs w:val="20"/>
          <w:color w:val="auto"/>
        </w:rPr>
      </w:pPr>
    </w:p>
    <w:p>
      <w:pPr>
        <w:jc w:val="both"/>
        <w:ind w:left="800" w:right="179" w:hanging="324"/>
        <w:spacing w:after="0" w:line="243" w:lineRule="auto"/>
        <w:tabs>
          <w:tab w:leader="none" w:pos="80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Accounting Restatement</w:t>
      </w:r>
      <w:r>
        <w:rPr>
          <w:rFonts w:ascii="Times New Roman" w:cs="Times New Roman" w:eastAsia="Times New Roman" w:hAnsi="Times New Roman"/>
          <w:sz w:val="21"/>
          <w:szCs w:val="21"/>
          <w:color w:val="auto"/>
        </w:rPr>
        <w:t>” means an accounting restatement due to the material noncompliance of the Company with any financial reporting requirement under the securities laws, including any required accounting restatement to correct an error (i) in previously issued financial statements that is material to the previously issued financial statements (commonly referred to as a “Big R” restatement) or (ii) that would result in a material misstatement if the error were corrected in the current period or left uncorrected in the current period (commonly referred to as a “little r” restatement).</w:t>
      </w:r>
    </w:p>
    <w:p>
      <w:pPr>
        <w:spacing w:after="0" w:line="196" w:lineRule="exact"/>
        <w:rPr>
          <w:rFonts w:ascii="Times New Roman" w:cs="Times New Roman" w:eastAsia="Times New Roman" w:hAnsi="Times New Roman"/>
          <w:sz w:val="21"/>
          <w:szCs w:val="21"/>
          <w:color w:val="auto"/>
        </w:rPr>
      </w:pPr>
    </w:p>
    <w:p>
      <w:pPr>
        <w:jc w:val="both"/>
        <w:ind w:left="800" w:right="179" w:hanging="324"/>
        <w:spacing w:after="0"/>
        <w:tabs>
          <w:tab w:leader="none" w:pos="80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Erroneously Awarded Compensation</w:t>
      </w:r>
      <w:r>
        <w:rPr>
          <w:rFonts w:ascii="Times New Roman" w:cs="Times New Roman" w:eastAsia="Times New Roman" w:hAnsi="Times New Roman"/>
          <w:sz w:val="21"/>
          <w:szCs w:val="21"/>
          <w:color w:val="auto"/>
        </w:rPr>
        <w:t>” means the amount of Incentive-Based Compensation received that exceeds the amount of Incentive-Based Compensation that otherwise would have been received by the Executive Officer had it been determined based on the restated amounts in the Accounting Restatement (computed without regard to any taxes paid). For Incentive-Based Compensation based on stock price or total shareholder return (“</w:t>
      </w:r>
      <w:r>
        <w:rPr>
          <w:rFonts w:ascii="Times New Roman" w:cs="Times New Roman" w:eastAsia="Times New Roman" w:hAnsi="Times New Roman"/>
          <w:sz w:val="21"/>
          <w:szCs w:val="21"/>
          <w:b w:val="1"/>
          <w:bCs w:val="1"/>
          <w:i w:val="1"/>
          <w:iCs w:val="1"/>
          <w:color w:val="auto"/>
        </w:rPr>
        <w:t>TSR</w:t>
      </w:r>
      <w:r>
        <w:rPr>
          <w:rFonts w:ascii="Times New Roman" w:cs="Times New Roman" w:eastAsia="Times New Roman" w:hAnsi="Times New Roman"/>
          <w:sz w:val="21"/>
          <w:szCs w:val="21"/>
          <w:color w:val="auto"/>
        </w:rPr>
        <w:t>”), where the amount of Erroneously Awarded Compensation is not subject to mathematical recalculation directly from the information in the Accounting Restatement, the Company shall: (i) base the calculation of the amount on a reasonable estimate of the effect of the Accounting Restatement on the stock price or TSR upon which the Incentive-Based Compensation received was based; and (ii) retain documentation of the determination of that reasonable estimate and provide such documentation to the Nasdaq Stock Market or, if a class of securities of the Company is no longer listed on the Nasdaq Stock Market, such other national securities exchange or national securities association on which a class of the Company’s securities is then listed for trading.</w:t>
      </w:r>
    </w:p>
    <w:p>
      <w:pPr>
        <w:spacing w:after="0" w:line="200" w:lineRule="exact"/>
        <w:rPr>
          <w:rFonts w:ascii="Times New Roman" w:cs="Times New Roman" w:eastAsia="Times New Roman" w:hAnsi="Times New Roman"/>
          <w:sz w:val="21"/>
          <w:szCs w:val="21"/>
          <w:color w:val="auto"/>
        </w:rPr>
      </w:pPr>
    </w:p>
    <w:p>
      <w:pPr>
        <w:spacing w:after="0" w:line="238" w:lineRule="exact"/>
        <w:rPr>
          <w:rFonts w:ascii="Times New Roman" w:cs="Times New Roman" w:eastAsia="Times New Roman" w:hAnsi="Times New Roman"/>
          <w:sz w:val="21"/>
          <w:szCs w:val="21"/>
          <w:color w:val="auto"/>
        </w:rPr>
      </w:pPr>
    </w:p>
    <w:p>
      <w:pPr>
        <w:ind w:left="800" w:hanging="324"/>
        <w:spacing w:after="0"/>
        <w:tabs>
          <w:tab w:leader="none" w:pos="80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Executive Officer</w:t>
      </w:r>
      <w:r>
        <w:rPr>
          <w:rFonts w:ascii="Times New Roman" w:cs="Times New Roman" w:eastAsia="Times New Roman" w:hAnsi="Times New Roman"/>
          <w:sz w:val="21"/>
          <w:szCs w:val="21"/>
          <w:color w:val="auto"/>
        </w:rPr>
        <w:t>” has the meaning set forth in Rule 5608(d) of the Nasdaq Listing Rules.</w:t>
      </w:r>
    </w:p>
    <w:p>
      <w:pPr>
        <w:spacing w:after="0" w:line="200" w:lineRule="exact"/>
        <w:rPr>
          <w:sz w:val="20"/>
          <w:szCs w:val="20"/>
          <w:color w:val="auto"/>
        </w:rPr>
      </w:pPr>
    </w:p>
    <w:p>
      <w:pPr>
        <w:spacing w:after="0" w:line="265" w:lineRule="exact"/>
        <w:rPr>
          <w:sz w:val="20"/>
          <w:szCs w:val="20"/>
          <w:color w:val="auto"/>
        </w:rPr>
      </w:pPr>
    </w:p>
    <w:p>
      <w:pPr>
        <w:jc w:val="right"/>
        <w:ind w:right="15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207645</wp:posOffset>
            </wp:positionV>
            <wp:extent cx="5561330" cy="50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5561330" cy="508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800" w:right="179" w:hanging="324"/>
        <w:spacing w:after="0" w:line="276" w:lineRule="auto"/>
        <w:tabs>
          <w:tab w:leader="none" w:pos="80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Financial Reporting Measures</w:t>
      </w:r>
      <w:r>
        <w:rPr>
          <w:rFonts w:ascii="Times New Roman" w:cs="Times New Roman" w:eastAsia="Times New Roman" w:hAnsi="Times New Roman"/>
          <w:sz w:val="21"/>
          <w:szCs w:val="21"/>
          <w:color w:val="auto"/>
        </w:rPr>
        <w:t>” has the meaning set forth in Rule 5608(d) of the Nasdaq Listing Rules.</w:t>
      </w:r>
    </w:p>
    <w:p>
      <w:pPr>
        <w:spacing w:after="0" w:line="160" w:lineRule="exact"/>
        <w:rPr>
          <w:rFonts w:ascii="Times New Roman" w:cs="Times New Roman" w:eastAsia="Times New Roman" w:hAnsi="Times New Roman"/>
          <w:sz w:val="21"/>
          <w:szCs w:val="21"/>
          <w:color w:val="auto"/>
        </w:rPr>
      </w:pPr>
    </w:p>
    <w:p>
      <w:pPr>
        <w:jc w:val="both"/>
        <w:ind w:left="800" w:right="179" w:hanging="324"/>
        <w:spacing w:after="0" w:line="242" w:lineRule="auto"/>
        <w:tabs>
          <w:tab w:leader="none" w:pos="80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Incentive-Based Compensation</w:t>
      </w:r>
      <w:r>
        <w:rPr>
          <w:rFonts w:ascii="Times New Roman" w:cs="Times New Roman" w:eastAsia="Times New Roman" w:hAnsi="Times New Roman"/>
          <w:sz w:val="21"/>
          <w:szCs w:val="21"/>
          <w:color w:val="auto"/>
        </w:rPr>
        <w:t>” means any compensation that is granted, earned, or vested based wholly or in part upon the attainment of a Financial Reporting Measure (including, without limitation, stock price or TSR), including, any short-term or long-term incentive awards, cash bonuses, restricted stock awards or restricted stock unit awards that vest based on achievement of a Financial Reporting Measure. Equity awards that vest exclusively upon completion of a specified employment period, without any performance condition, and bonus awards that are discretionary or based on subjective goals or goals unrelated to Financial Reporting Measures, do not constitute Incentive-Based Compensation.</w:t>
      </w:r>
    </w:p>
    <w:p>
      <w:pPr>
        <w:spacing w:after="0" w:line="198" w:lineRule="exact"/>
        <w:rPr>
          <w:rFonts w:ascii="Times New Roman" w:cs="Times New Roman" w:eastAsia="Times New Roman" w:hAnsi="Times New Roman"/>
          <w:sz w:val="21"/>
          <w:szCs w:val="21"/>
          <w:color w:val="auto"/>
        </w:rPr>
      </w:pPr>
    </w:p>
    <w:p>
      <w:pPr>
        <w:jc w:val="both"/>
        <w:ind w:left="800" w:right="179" w:hanging="324"/>
        <w:spacing w:after="0" w:line="246" w:lineRule="auto"/>
        <w:tabs>
          <w:tab w:leader="none" w:pos="80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 Date</w:t>
      </w:r>
      <w:r>
        <w:rPr>
          <w:rFonts w:ascii="Times New Roman" w:cs="Times New Roman" w:eastAsia="Times New Roman" w:hAnsi="Times New Roman"/>
          <w:sz w:val="21"/>
          <w:szCs w:val="21"/>
          <w:color w:val="auto"/>
        </w:rPr>
        <w:t>” means the earlier to occur of (i) the date the Board or the Committee (or an officer or officers of the Company authorized to take such action if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193" w:lineRule="exact"/>
        <w:rPr>
          <w:sz w:val="20"/>
          <w:szCs w:val="20"/>
          <w:color w:val="auto"/>
        </w:rPr>
      </w:pPr>
    </w:p>
    <w:p>
      <w:pPr>
        <w:ind w:left="160"/>
        <w:spacing w:after="0"/>
        <w:tabs>
          <w:tab w:leader="none" w:pos="1640" w:val="left"/>
        </w:tabs>
        <w:rPr>
          <w:sz w:val="20"/>
          <w:szCs w:val="20"/>
          <w:color w:val="auto"/>
        </w:rPr>
      </w:pPr>
      <w:r>
        <w:rPr>
          <w:rFonts w:ascii="Times New Roman" w:cs="Times New Roman" w:eastAsia="Times New Roman" w:hAnsi="Times New Roman"/>
          <w:sz w:val="21"/>
          <w:szCs w:val="21"/>
          <w:b w:val="1"/>
          <w:bCs w:val="1"/>
          <w:u w:val="single" w:color="auto"/>
          <w:color w:val="auto"/>
        </w:rPr>
        <w:t>Section 4</w:t>
      </w:r>
      <w:r>
        <w:rPr>
          <w:rFonts w:ascii="Times New Roman" w:cs="Times New Roman" w:eastAsia="Times New Roman" w:hAnsi="Times New Roman"/>
          <w:sz w:val="21"/>
          <w:szCs w:val="21"/>
          <w:b w:val="1"/>
          <w:bCs w:val="1"/>
          <w:color w:val="auto"/>
        </w:rPr>
        <w:t>.</w:t>
      </w:r>
      <w:r>
        <w:rPr>
          <w:sz w:val="20"/>
          <w:szCs w:val="20"/>
          <w:color w:val="auto"/>
        </w:rPr>
        <w:tab/>
      </w:r>
      <w:r>
        <w:rPr>
          <w:rFonts w:ascii="Times New Roman" w:cs="Times New Roman" w:eastAsia="Times New Roman" w:hAnsi="Times New Roman"/>
          <w:sz w:val="21"/>
          <w:szCs w:val="21"/>
          <w:b w:val="1"/>
          <w:bCs w:val="1"/>
          <w:u w:val="single" w:color="auto"/>
          <w:color w:val="auto"/>
        </w:rPr>
        <w:t>Exceptions to Recovery</w:t>
      </w:r>
    </w:p>
    <w:p>
      <w:pPr>
        <w:spacing w:after="0" w:line="240" w:lineRule="exact"/>
        <w:rPr>
          <w:sz w:val="20"/>
          <w:szCs w:val="20"/>
          <w:color w:val="auto"/>
        </w:rPr>
      </w:pPr>
    </w:p>
    <w:p>
      <w:pPr>
        <w:jc w:val="both"/>
        <w:ind w:left="160" w:right="179"/>
        <w:spacing w:after="0" w:line="254" w:lineRule="auto"/>
        <w:rPr>
          <w:sz w:val="20"/>
          <w:szCs w:val="20"/>
          <w:color w:val="auto"/>
        </w:rPr>
      </w:pPr>
      <w:r>
        <w:rPr>
          <w:rFonts w:ascii="Times New Roman" w:cs="Times New Roman" w:eastAsia="Times New Roman" w:hAnsi="Times New Roman"/>
          <w:sz w:val="21"/>
          <w:szCs w:val="21"/>
          <w:color w:val="auto"/>
        </w:rPr>
        <w:t>Notwithstanding the foregoing, the Company is not required to recover Erroneously Awarded Compensation to the extent that the Committee has made a determination that recovery would be impracticable and that:</w:t>
      </w:r>
    </w:p>
    <w:p>
      <w:pPr>
        <w:spacing w:after="0" w:line="187" w:lineRule="exact"/>
        <w:rPr>
          <w:sz w:val="20"/>
          <w:szCs w:val="20"/>
          <w:color w:val="auto"/>
        </w:rPr>
      </w:pPr>
    </w:p>
    <w:p>
      <w:pPr>
        <w:jc w:val="both"/>
        <w:ind w:left="800" w:right="179" w:hanging="642"/>
        <w:spacing w:after="0" w:line="245" w:lineRule="auto"/>
        <w:tabs>
          <w:tab w:leader="none" w:pos="814"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 expense paid to a third party to assist in enforcing this Policy would exceed the amount to be recovered (provided, that, before concluding that it would be impracticable to recover based on the expense of enforcement, the Company must make a reasonable attempt to recover such Erroneously Awarded Compensation and must document such attempts and provide such documentation to the Nasdaq Stock Market);</w:t>
      </w:r>
    </w:p>
    <w:p>
      <w:pPr>
        <w:spacing w:after="0" w:line="198" w:lineRule="exact"/>
        <w:rPr>
          <w:rFonts w:ascii="Times New Roman" w:cs="Times New Roman" w:eastAsia="Times New Roman" w:hAnsi="Times New Roman"/>
          <w:sz w:val="21"/>
          <w:szCs w:val="21"/>
          <w:color w:val="auto"/>
        </w:rPr>
      </w:pPr>
    </w:p>
    <w:p>
      <w:pPr>
        <w:jc w:val="both"/>
        <w:ind w:left="800" w:right="179" w:hanging="642"/>
        <w:spacing w:after="0" w:line="245" w:lineRule="auto"/>
        <w:tabs>
          <w:tab w:leader="none" w:pos="8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recovery would violate one or more laws of the home country that were adopted prior to November 28, 2022 (provided, that, before concluding that it would be impracticable to recover based on violation of home country law, the Company must obtain an opinion of home country counsel, acceptable to the Nasdaq Stock Market, that recovery would result in a such a violation and provide a copy of such opinion to the Nasdaq Stock Market);</w:t>
      </w:r>
    </w:p>
    <w:p>
      <w:pPr>
        <w:spacing w:after="0" w:line="198" w:lineRule="exact"/>
        <w:rPr>
          <w:rFonts w:ascii="Times New Roman" w:cs="Times New Roman" w:eastAsia="Times New Roman" w:hAnsi="Times New Roman"/>
          <w:sz w:val="21"/>
          <w:szCs w:val="21"/>
          <w:color w:val="auto"/>
        </w:rPr>
      </w:pPr>
    </w:p>
    <w:p>
      <w:pPr>
        <w:jc w:val="both"/>
        <w:ind w:left="800" w:right="179" w:hanging="642"/>
        <w:spacing w:after="0" w:line="254" w:lineRule="auto"/>
        <w:tabs>
          <w:tab w:leader="none" w:pos="80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recovery would likely cause an otherwise tax-qualified retirement plan, under which benefits are broadly available to employees of the Company and its subsidiaries, to fail to meet the requirements of 26 U.S.C. 401(a)(13) or 26 U.S.C. 411(a) and regulations thereunder; or</w:t>
      </w:r>
    </w:p>
    <w:p>
      <w:pPr>
        <w:spacing w:after="0" w:line="187" w:lineRule="exact"/>
        <w:rPr>
          <w:rFonts w:ascii="Times New Roman" w:cs="Times New Roman" w:eastAsia="Times New Roman" w:hAnsi="Times New Roman"/>
          <w:sz w:val="21"/>
          <w:szCs w:val="21"/>
          <w:color w:val="auto"/>
        </w:rPr>
      </w:pPr>
    </w:p>
    <w:p>
      <w:pPr>
        <w:ind w:left="840" w:hanging="682"/>
        <w:spacing w:after="0"/>
        <w:tabs>
          <w:tab w:leader="none" w:pos="84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exception permitted under Rule 5608 of the Nasdaq Listing Rules.</w:t>
      </w:r>
    </w:p>
    <w:p>
      <w:pPr>
        <w:spacing w:after="0" w:line="222" w:lineRule="exact"/>
        <w:rPr>
          <w:sz w:val="20"/>
          <w:szCs w:val="20"/>
          <w:color w:val="auto"/>
        </w:rPr>
      </w:pPr>
    </w:p>
    <w:p>
      <w:pPr>
        <w:jc w:val="right"/>
        <w:ind w:right="15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207645</wp:posOffset>
            </wp:positionV>
            <wp:extent cx="5561330" cy="50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5561330"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2" w:name="page53"/>
    <w:bookmarkEnd w:id="52"/>
    <w:p>
      <w:pPr>
        <w:ind w:left="160"/>
        <w:spacing w:after="0"/>
        <w:rPr>
          <w:sz w:val="20"/>
          <w:szCs w:val="20"/>
          <w:color w:val="auto"/>
        </w:rPr>
      </w:pPr>
      <w:r>
        <w:rPr>
          <w:rFonts w:ascii="Times New Roman" w:cs="Times New Roman" w:eastAsia="Times New Roman" w:hAnsi="Times New Roman"/>
          <w:sz w:val="21"/>
          <w:szCs w:val="21"/>
          <w:b w:val="1"/>
          <w:bCs w:val="1"/>
          <w:u w:val="single" w:color="auto"/>
          <w:color w:val="auto"/>
        </w:rPr>
        <w:t>Section 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No Right to Indemnification or Insurance</w:t>
      </w:r>
    </w:p>
    <w:p>
      <w:pPr>
        <w:spacing w:after="0" w:line="240" w:lineRule="exact"/>
        <w:rPr>
          <w:sz w:val="20"/>
          <w:szCs w:val="20"/>
          <w:color w:val="auto"/>
        </w:rPr>
      </w:pPr>
    </w:p>
    <w:p>
      <w:pPr>
        <w:jc w:val="both"/>
        <w:ind w:left="160" w:right="179"/>
        <w:spacing w:after="0" w:line="245" w:lineRule="auto"/>
        <w:rPr>
          <w:sz w:val="20"/>
          <w:szCs w:val="20"/>
          <w:color w:val="auto"/>
        </w:rPr>
      </w:pPr>
      <w:r>
        <w:rPr>
          <w:rFonts w:ascii="Times New Roman" w:cs="Times New Roman" w:eastAsia="Times New Roman" w:hAnsi="Times New Roman"/>
          <w:sz w:val="21"/>
          <w:szCs w:val="21"/>
          <w:color w:val="auto"/>
        </w:rPr>
        <w:t>The Company shall not indemnify any Executive Officer against the loss of Erroneously Awarded Compensation or losses arising from any claims relating to the Company’s enforcement of this Policy. In addition, the Company shall not pay, or reimburse any Executive Officer for, any premiums for a third-party insurance policy purchased by the Executive Officer or any other party that would fund any of the Executive Officer’s potential recovery obligations under this Policy.</w:t>
      </w:r>
    </w:p>
    <w:p>
      <w:pPr>
        <w:spacing w:after="0" w:line="49" w:lineRule="exact"/>
        <w:rPr>
          <w:sz w:val="20"/>
          <w:szCs w:val="20"/>
          <w:color w:val="auto"/>
        </w:rPr>
      </w:pPr>
    </w:p>
    <w:p>
      <w:pPr>
        <w:ind w:left="160"/>
        <w:spacing w:after="0"/>
        <w:tabs>
          <w:tab w:leader="none" w:pos="1640" w:val="left"/>
        </w:tabs>
        <w:rPr>
          <w:sz w:val="20"/>
          <w:szCs w:val="20"/>
          <w:color w:val="auto"/>
        </w:rPr>
      </w:pPr>
      <w:r>
        <w:rPr>
          <w:rFonts w:ascii="Times New Roman" w:cs="Times New Roman" w:eastAsia="Times New Roman" w:hAnsi="Times New Roman"/>
          <w:sz w:val="21"/>
          <w:szCs w:val="21"/>
          <w:b w:val="1"/>
          <w:bCs w:val="1"/>
          <w:u w:val="single" w:color="auto"/>
          <w:color w:val="auto"/>
        </w:rPr>
        <w:t>Section 6</w:t>
      </w:r>
      <w:r>
        <w:rPr>
          <w:rFonts w:ascii="Times New Roman" w:cs="Times New Roman" w:eastAsia="Times New Roman" w:hAnsi="Times New Roman"/>
          <w:sz w:val="21"/>
          <w:szCs w:val="21"/>
          <w:b w:val="1"/>
          <w:bCs w:val="1"/>
          <w:color w:val="auto"/>
        </w:rPr>
        <w:t>.</w:t>
      </w:r>
      <w:r>
        <w:rPr>
          <w:sz w:val="20"/>
          <w:szCs w:val="20"/>
          <w:color w:val="auto"/>
        </w:rPr>
        <w:tab/>
      </w:r>
      <w:r>
        <w:rPr>
          <w:rFonts w:ascii="Times New Roman" w:cs="Times New Roman" w:eastAsia="Times New Roman" w:hAnsi="Times New Roman"/>
          <w:sz w:val="21"/>
          <w:szCs w:val="21"/>
          <w:b w:val="1"/>
          <w:bCs w:val="1"/>
          <w:u w:val="single" w:color="auto"/>
          <w:color w:val="auto"/>
        </w:rPr>
        <w:t>Award Agreements and Plan Documents</w:t>
      </w:r>
    </w:p>
    <w:p>
      <w:pPr>
        <w:spacing w:after="0" w:line="81" w:lineRule="exact"/>
        <w:rPr>
          <w:sz w:val="20"/>
          <w:szCs w:val="20"/>
          <w:color w:val="auto"/>
        </w:rPr>
      </w:pPr>
    </w:p>
    <w:p>
      <w:pPr>
        <w:jc w:val="both"/>
        <w:ind w:left="160" w:right="179"/>
        <w:spacing w:after="0" w:line="241" w:lineRule="auto"/>
        <w:rPr>
          <w:sz w:val="20"/>
          <w:szCs w:val="20"/>
          <w:color w:val="auto"/>
        </w:rPr>
      </w:pPr>
      <w:r>
        <w:rPr>
          <w:rFonts w:ascii="Times New Roman" w:cs="Times New Roman" w:eastAsia="Times New Roman" w:hAnsi="Times New Roman"/>
          <w:sz w:val="21"/>
          <w:szCs w:val="21"/>
          <w:color w:val="auto"/>
        </w:rPr>
        <w:t>The Committee further directs the Company to include clawback language in each of the Company’s incentive compensation plans such that each individual who receives Incentive-Based Compensation under those plans understands and agrees that all or any portion of such Incentive-Based Compensation may be subject to recovery by the Company, and such individual may be required to repay all or any portion of such Incentive-Based Compensation, if (i) recovery of such Incentive-Based Compensation is required by this Policy, (ii) such Incentive-Based Compensation is determined to be based on materially inaccurate financial and/or performance information (which includes, but is not limited to, statements of earnings, revenues or gains), or (iii) repayment of such Incentive-Based Compensation is required by applicable federal or state securities and/or banking laws.</w:t>
      </w:r>
    </w:p>
    <w:p>
      <w:pPr>
        <w:spacing w:after="0" w:line="53" w:lineRule="exact"/>
        <w:rPr>
          <w:sz w:val="20"/>
          <w:szCs w:val="20"/>
          <w:color w:val="auto"/>
        </w:rPr>
      </w:pPr>
    </w:p>
    <w:p>
      <w:pPr>
        <w:ind w:left="160"/>
        <w:spacing w:after="0"/>
        <w:tabs>
          <w:tab w:leader="none" w:pos="1640" w:val="left"/>
        </w:tabs>
        <w:rPr>
          <w:sz w:val="20"/>
          <w:szCs w:val="20"/>
          <w:color w:val="auto"/>
        </w:rPr>
      </w:pPr>
      <w:r>
        <w:rPr>
          <w:rFonts w:ascii="Times New Roman" w:cs="Times New Roman" w:eastAsia="Times New Roman" w:hAnsi="Times New Roman"/>
          <w:sz w:val="21"/>
          <w:szCs w:val="21"/>
          <w:b w:val="1"/>
          <w:bCs w:val="1"/>
          <w:u w:val="single" w:color="auto"/>
          <w:color w:val="auto"/>
        </w:rPr>
        <w:t>Section 7</w:t>
      </w:r>
      <w:r>
        <w:rPr>
          <w:rFonts w:ascii="Times New Roman" w:cs="Times New Roman" w:eastAsia="Times New Roman" w:hAnsi="Times New Roman"/>
          <w:sz w:val="21"/>
          <w:szCs w:val="21"/>
          <w:b w:val="1"/>
          <w:bCs w:val="1"/>
          <w:color w:val="auto"/>
        </w:rPr>
        <w:t>.</w:t>
      </w:r>
      <w:r>
        <w:rPr>
          <w:sz w:val="20"/>
          <w:szCs w:val="20"/>
          <w:color w:val="auto"/>
        </w:rPr>
        <w:tab/>
      </w:r>
      <w:r>
        <w:rPr>
          <w:rFonts w:ascii="Times New Roman" w:cs="Times New Roman" w:eastAsia="Times New Roman" w:hAnsi="Times New Roman"/>
          <w:sz w:val="21"/>
          <w:szCs w:val="21"/>
          <w:b w:val="1"/>
          <w:bCs w:val="1"/>
          <w:u w:val="single" w:color="auto"/>
          <w:color w:val="auto"/>
        </w:rPr>
        <w:t>Interpretation and Amendment of this Policy</w:t>
      </w:r>
    </w:p>
    <w:p>
      <w:pPr>
        <w:spacing w:after="0" w:line="240" w:lineRule="exact"/>
        <w:rPr>
          <w:sz w:val="20"/>
          <w:szCs w:val="20"/>
          <w:color w:val="auto"/>
        </w:rPr>
      </w:pPr>
    </w:p>
    <w:p>
      <w:pPr>
        <w:jc w:val="both"/>
        <w:ind w:left="160" w:right="159"/>
        <w:spacing w:after="0" w:line="242" w:lineRule="auto"/>
        <w:rPr>
          <w:sz w:val="20"/>
          <w:szCs w:val="20"/>
          <w:color w:val="auto"/>
        </w:rPr>
      </w:pPr>
      <w:r>
        <w:rPr>
          <w:rFonts w:ascii="Times New Roman" w:cs="Times New Roman" w:eastAsia="Times New Roman" w:hAnsi="Times New Roman"/>
          <w:sz w:val="21"/>
          <w:szCs w:val="21"/>
          <w:color w:val="auto"/>
        </w:rPr>
        <w:t>The Committee, in its discretion, shall have the sole authority to interpret and make any determinations regarding this Policy. Any interpretation, determination, or other action made or taken by the Committee shall be final, binding, and conclusive on all interested parties. The determination of the Committee need not be uniform with respect to one or more officers. The Committee may amend this Policy from time to time in its discretion and shall amend the Policy to comply with applicable law or with any rules or standards adopted by the Nasdaq Stock Market or any national securities exchange on which the Company’s securities are then listed. The Committee may terminate this Policy at any time.</w:t>
      </w:r>
    </w:p>
    <w:p>
      <w:pPr>
        <w:spacing w:after="0" w:line="200" w:lineRule="exact"/>
        <w:rPr>
          <w:sz w:val="20"/>
          <w:szCs w:val="20"/>
          <w:color w:val="auto"/>
        </w:rPr>
      </w:pPr>
    </w:p>
    <w:p>
      <w:pPr>
        <w:spacing w:after="0" w:line="238" w:lineRule="exact"/>
        <w:rPr>
          <w:sz w:val="20"/>
          <w:szCs w:val="20"/>
          <w:color w:val="auto"/>
        </w:rPr>
      </w:pPr>
    </w:p>
    <w:p>
      <w:pPr>
        <w:ind w:left="160"/>
        <w:spacing w:after="0"/>
        <w:tabs>
          <w:tab w:leader="none" w:pos="1640" w:val="left"/>
        </w:tabs>
        <w:rPr>
          <w:sz w:val="20"/>
          <w:szCs w:val="20"/>
          <w:color w:val="auto"/>
        </w:rPr>
      </w:pPr>
      <w:r>
        <w:rPr>
          <w:rFonts w:ascii="Times New Roman" w:cs="Times New Roman" w:eastAsia="Times New Roman" w:hAnsi="Times New Roman"/>
          <w:sz w:val="21"/>
          <w:szCs w:val="21"/>
          <w:b w:val="1"/>
          <w:bCs w:val="1"/>
          <w:u w:val="single" w:color="auto"/>
          <w:color w:val="auto"/>
        </w:rPr>
        <w:t>Section 8</w:t>
      </w:r>
      <w:r>
        <w:rPr>
          <w:rFonts w:ascii="Times New Roman" w:cs="Times New Roman" w:eastAsia="Times New Roman" w:hAnsi="Times New Roman"/>
          <w:sz w:val="21"/>
          <w:szCs w:val="21"/>
          <w:b w:val="1"/>
          <w:bCs w:val="1"/>
          <w:color w:val="auto"/>
        </w:rPr>
        <w:t>.</w:t>
      </w:r>
      <w:r>
        <w:rPr>
          <w:sz w:val="20"/>
          <w:szCs w:val="20"/>
          <w:color w:val="auto"/>
        </w:rPr>
        <w:tab/>
      </w:r>
      <w:r>
        <w:rPr>
          <w:rFonts w:ascii="Times New Roman" w:cs="Times New Roman" w:eastAsia="Times New Roman" w:hAnsi="Times New Roman"/>
          <w:sz w:val="21"/>
          <w:szCs w:val="21"/>
          <w:b w:val="1"/>
          <w:bCs w:val="1"/>
          <w:u w:val="single" w:color="auto"/>
          <w:color w:val="auto"/>
        </w:rPr>
        <w:t>Other Recoupment Rights</w:t>
      </w:r>
      <w:r>
        <w:rPr>
          <w:rFonts w:ascii="Times New Roman" w:cs="Times New Roman" w:eastAsia="Times New Roman" w:hAnsi="Times New Roman"/>
          <w:sz w:val="21"/>
          <w:szCs w:val="21"/>
          <w:b w:val="1"/>
          <w:bCs w:val="1"/>
          <w:color w:val="auto"/>
        </w:rPr>
        <w:t>.</w:t>
      </w:r>
    </w:p>
    <w:p>
      <w:pPr>
        <w:spacing w:after="0" w:line="94" w:lineRule="exact"/>
        <w:rPr>
          <w:sz w:val="20"/>
          <w:szCs w:val="20"/>
          <w:color w:val="auto"/>
        </w:rPr>
      </w:pPr>
    </w:p>
    <w:p>
      <w:pPr>
        <w:jc w:val="both"/>
        <w:ind w:left="160" w:right="159"/>
        <w:spacing w:after="0" w:line="242" w:lineRule="auto"/>
        <w:rPr>
          <w:sz w:val="20"/>
          <w:szCs w:val="20"/>
          <w:color w:val="auto"/>
        </w:rPr>
      </w:pPr>
      <w:r>
        <w:rPr>
          <w:rFonts w:ascii="Times New Roman" w:cs="Times New Roman" w:eastAsia="Times New Roman" w:hAnsi="Times New Roman"/>
          <w:sz w:val="21"/>
          <w:szCs w:val="21"/>
          <w:color w:val="auto"/>
        </w:rPr>
        <w:t>The Company intends that this Policy will be applied to the fullest extent of the law.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remedies available to the Company under applicable law. Without by implication limiting the foregoing, following a restatement of the Company’s financial statements, the Company also shall be entitled to recover any compensation received by the Chief Executive Officer and Chief Financial Officer that is required to be recovered by Section 304 of the Sarbanes-Oxley Act of 2002.</w:t>
      </w:r>
    </w:p>
    <w:p>
      <w:pPr>
        <w:spacing w:after="0" w:line="185" w:lineRule="exact"/>
        <w:rPr>
          <w:sz w:val="20"/>
          <w:szCs w:val="20"/>
          <w:color w:val="auto"/>
        </w:rPr>
      </w:pPr>
    </w:p>
    <w:p>
      <w:pPr>
        <w:ind w:left="876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207645</wp:posOffset>
            </wp:positionV>
            <wp:extent cx="5561330" cy="508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5561330" cy="50800"/>
                    </a:xfrm>
                    <a:prstGeom prst="rect">
                      <a:avLst/>
                    </a:prstGeom>
                    <a:noFill/>
                  </pic:spPr>
                </pic:pic>
              </a:graphicData>
            </a:graphic>
          </wp:anchor>
        </w:drawing>
      </w:r>
    </w:p>
    <w:sectPr>
      <w:pgSz w:w="11900" w:h="16838" w:orient="portrait"/>
      <w:cols w:equalWidth="0" w:num="1">
        <w:col w:w="9019"/>
      </w:cols>
      <w:pgMar w:left="1440" w:top="3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
      <w:numFmt w:val="bullet"/>
      <w:start w:val="1"/>
    </w:lvl>
  </w:abstractNum>
  <w:abstractNum w:abstractNumId="4">
    <w:nsid w:val="1BEFD79F"/>
    <w:multiLevelType w:val="hybridMultilevel"/>
    <w:lvl w:ilvl="0">
      <w:lvlJc w:val="left"/>
      <w:lvlText w:val=" "/>
      <w:numFmt w:val="bullet"/>
      <w:start w:val="1"/>
    </w:lvl>
  </w:abstractNum>
  <w:abstractNum w:abstractNumId="5">
    <w:nsid w:val="41A7C4C9"/>
    <w:multiLevelType w:val="hybridMultilevel"/>
    <w:lvl w:ilvl="0">
      <w:lvlJc w:val="left"/>
      <w:lvlText w:val=" "/>
      <w:numFmt w:val="bullet"/>
      <w:start w:val="1"/>
    </w:lvl>
  </w:abstractNum>
  <w:abstractNum w:abstractNumId="6">
    <w:nsid w:val="6B68079A"/>
    <w:multiLevelType w:val="hybridMultilevel"/>
    <w:lvl w:ilvl="0">
      <w:lvlJc w:val="left"/>
      <w:lvlText w:val=" "/>
      <w:numFmt w:val="bullet"/>
      <w:start w:val="1"/>
    </w:lvl>
  </w:abstractNum>
  <w:abstractNum w:abstractNumId="7">
    <w:nsid w:val="4E6AFB66"/>
    <w:multiLevelType w:val="hybridMultilevel"/>
    <w:lvl w:ilvl="0">
      <w:lvlJc w:val="left"/>
      <w:lvlText w:val=" "/>
      <w:numFmt w:val="bullet"/>
      <w:start w:val="1"/>
    </w:lvl>
  </w:abstractNum>
  <w:abstractNum w:abstractNumId="8">
    <w:nsid w:val="25E45D32"/>
    <w:multiLevelType w:val="hybridMultilevel"/>
    <w:lvl w:ilvl="0">
      <w:lvlJc w:val="left"/>
      <w:lvlText w:val=" "/>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endash "/>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21"/>
    </w:lvl>
  </w:abstractNum>
  <w:abstractNum w:abstractNumId="14">
    <w:nsid w:val="62BBD95A"/>
    <w:multiLevelType w:val="hybridMultilevel"/>
    <w:lvl w:ilvl="0">
      <w:lvlJc w:val="left"/>
      <w:lvlText w:val="%1"/>
      <w:numFmt w:val="decimal"/>
      <w:start w:val="24"/>
    </w:lvl>
  </w:abstractNum>
  <w:abstractNum w:abstractNumId="15">
    <w:nsid w:val="436C6125"/>
    <w:multiLevelType w:val="hybridMultilevel"/>
    <w:lvl w:ilvl="0">
      <w:lvlJc w:val="left"/>
      <w:lvlText w:val="%1"/>
      <w:numFmt w:val="decimal"/>
      <w:start w:val="97"/>
    </w:lvl>
  </w:abstractNum>
  <w:abstractNum w:abstractNumId="16">
    <w:nsid w:val="628C895D"/>
    <w:multiLevelType w:val="hybridMultilevel"/>
    <w:lvl w:ilvl="0">
      <w:lvlJc w:val="left"/>
      <w:lvlText w:val="(%1)"/>
      <w:numFmt w:val="lowerRoman"/>
      <w:start w:val="1"/>
    </w:lvl>
  </w:abstractNum>
  <w:abstractNum w:abstractNumId="17">
    <w:nsid w:val="333AB105"/>
    <w:multiLevelType w:val="hybridMultilevel"/>
    <w:lvl w:ilvl="0">
      <w:lvlJc w:val="left"/>
      <w:lvlText w:val="%1."/>
      <w:numFmt w:val="decimal"/>
      <w:start w:val="1"/>
    </w:lvl>
    <w:lvl w:ilvl="1">
      <w:lvlJc w:val="left"/>
      <w:lvlText w:val="%2)"/>
      <w:numFmt w:val="lowerLetter"/>
      <w:start w:val="1"/>
    </w:lvl>
  </w:abstractNum>
  <w:abstractNum w:abstractNumId="18">
    <w:nsid w:val="721DA317"/>
    <w:multiLevelType w:val="hybridMultilevel"/>
    <w:lvl w:ilvl="0">
      <w:lvlJc w:val="left"/>
      <w:lvlText w:val="%1."/>
      <w:numFmt w:val="decimal"/>
      <w:start w:val="1"/>
    </w:lvl>
    <w:lvl w:ilvl="1">
      <w:lvlJc w:val="left"/>
      <w:lvlText w:val="%2)"/>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Roman"/>
      <w:start w:val="1"/>
    </w:lvl>
  </w:abstractNum>
  <w:abstractNum w:abstractNumId="21">
    <w:nsid w:val="6763845E"/>
    <w:multiLevelType w:val="hybridMultilevel"/>
    <w:lvl w:ilvl="0">
      <w:lvlJc w:val="left"/>
      <w:lvlText w:val="(%1)"/>
      <w:numFmt w:val="lowerRoman"/>
      <w:start w:val="2"/>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2"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7" Type="http://schemas.openxmlformats.org/officeDocument/2006/relationships/image" Target="media/image55.png"/><Relationship Id="rId69" Type="http://schemas.openxmlformats.org/officeDocument/2006/relationships/image" Target="media/image56.png"/><Relationship Id="rId71"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1"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7" Type="http://schemas.openxmlformats.org/officeDocument/2006/relationships/image" Target="media/image75.png"/><Relationship Id="rId99" Type="http://schemas.openxmlformats.org/officeDocument/2006/relationships/image" Target="media/image76.png"/><Relationship Id="rId101"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7"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56" Type="http://schemas.openxmlformats.org/officeDocument/2006/relationships/hyperlink" Target="http://www.sec.gov/Archives/edgar/data/1413898/000119312518126889/d571218dex31.htm" TargetMode="External"/><Relationship Id="rId57" Type="http://schemas.openxmlformats.org/officeDocument/2006/relationships/hyperlink" Target="http://www.sec.gov/Archives/edgar/data/1413898/000119312518210380/d601056dex33.htm" TargetMode="External"/><Relationship Id="rId61" Type="http://schemas.openxmlformats.org/officeDocument/2006/relationships/hyperlink" Target="http://www.sec.gov/Archives/edgar/data/1413898/000119312518210380/d601056dex34.htm" TargetMode="External"/><Relationship Id="rId63" Type="http://schemas.openxmlformats.org/officeDocument/2006/relationships/hyperlink" Target="http://www.sec.gov/Archives/edgar/data/1413898/000141389821000031/ahc-20210608xex3_1.htm" TargetMode="External"/><Relationship Id="rId66" Type="http://schemas.openxmlformats.org/officeDocument/2006/relationships/hyperlink" Target="http://www.sec.gov/Archives/edgar/data/1413898/000141389821000044/daln-20210629xex3_1.htm" TargetMode="External"/><Relationship Id="rId68" Type="http://schemas.openxmlformats.org/officeDocument/2006/relationships/hyperlink" Target="http://www.sec.gov/Archives/edgar/data/1413898/000141389821000044/daln-20210629xex3_2.htm" TargetMode="External"/><Relationship Id="rId70" Type="http://schemas.openxmlformats.org/officeDocument/2006/relationships/hyperlink" Target="http://www.sec.gov/Archives/edgar/data/1413898/000141389821000044/daln-20210629xex3_3.htm" TargetMode="External"/><Relationship Id="rId72" Type="http://schemas.openxmlformats.org/officeDocument/2006/relationships/hyperlink" Target="http://www.sec.gov/Archives/edgar/data/1413898/000119312518210380/d601056dex41.htm" TargetMode="External"/><Relationship Id="rId75" Type="http://schemas.openxmlformats.org/officeDocument/2006/relationships/hyperlink" Target="http://www.sec.gov/Archives/edgar/data/1413898/000141389817000005/c898-20170103xex10_1subl.htm" TargetMode="External"/><Relationship Id="rId76" Type="http://schemas.openxmlformats.org/officeDocument/2006/relationships/hyperlink" Target="http://www.sec.gov/Archives/edgar/data/1413898/000141389817000005/c898-20170103xex10_2guar.htm" TargetMode="External"/><Relationship Id="rId77" Type="http://schemas.openxmlformats.org/officeDocument/2006/relationships/hyperlink" Target="http://www.sec.gov/Archives/edgar/data/1413898/000141389819000017/ahc-20190506xex10_1.htm" TargetMode="External"/><Relationship Id="rId87" Type="http://schemas.openxmlformats.org/officeDocument/2006/relationships/hyperlink" Target="http://www.sec.gov/Archives/edgar/data/1413898/000141389822000028/daln-20220630xex10_21.htm" TargetMode="External"/><Relationship Id="rId90" Type="http://schemas.openxmlformats.org/officeDocument/2006/relationships/hyperlink" Target="http://www.sec.gov/Archives/edgar/data/1413898/000141389824000003/daln-20240229xex10_2.htm" TargetMode="External"/><Relationship Id="rId92" Type="http://schemas.openxmlformats.org/officeDocument/2006/relationships/hyperlink" Target="http://www.sec.gov/Archives/edgar/data/1413898/000141389817000028/c898-20170510xex10_1.htm" TargetMode="External"/><Relationship Id="rId96" Type="http://schemas.openxmlformats.org/officeDocument/2006/relationships/hyperlink" Target="http://www.sec.gov/Archives/edgar/data/1413898/000141389817000028/c898-20170510xex10_2.htm" TargetMode="External"/><Relationship Id="rId98" Type="http://schemas.openxmlformats.org/officeDocument/2006/relationships/hyperlink" Target="http://www.sec.gov/Archives/edgar/data/1413898/000141389824000003/daln-20240229xex10_1.htm" TargetMode="External"/><Relationship Id="rId100" Type="http://schemas.openxmlformats.org/officeDocument/2006/relationships/hyperlink" Target="http://www.sec.gov/Archives/edgar/data/1413898/000141389819000008/ahc-20181231xex10_1.htm" TargetMode="External"/><Relationship Id="rId102" Type="http://schemas.openxmlformats.org/officeDocument/2006/relationships/hyperlink" Target="http://www.sec.gov/Archives/edgar/data/1413898/000141389822000019/daln-20220512xex10_1.htm" TargetMode="External"/><Relationship Id="rId106" Type="http://schemas.openxmlformats.org/officeDocument/2006/relationships/hyperlink" Target="http://www.sec.gov/Archives/edgar/data/1413898/000141389822000019/daln-20220512xex10_2.htm" TargetMode="External"/><Relationship Id="rId108" Type="http://schemas.openxmlformats.org/officeDocument/2006/relationships/hyperlink" Target="http://www.sec.gov/Archives/edgar/data/1413898/000141389822000019/daln-20220512xex10_3.htm" TargetMode="External"/><Relationship Id="rId111" Type="http://schemas.openxmlformats.org/officeDocument/2006/relationships/hyperlink" Target="http://www.sec.gov/Archives/edgar/data/1413898/000095012310092376/d76421exv10w1.htm" TargetMode="External"/><Relationship Id="rId115" Type="http://schemas.openxmlformats.org/officeDocument/2006/relationships/hyperlink" Target="http://www.sec.gov/Archives/edgar/data/1413898/000095012311024802/d80096exv10w3w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2024-03-06T16:45:40Z</dcterms:created>
  <dcterms:modified xsi:type="dcterms:W3CDTF">2024-03-06T16:45:40Z</dcterms:modified>
</cp:coreProperties>
</file>